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Arial" w:cs="Arial" w:eastAsia="Arial" w:hAnsi="Arial"/>
          <w:b w:val="1"/>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TERMO DE REFERÊNCIA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OBRAS E SERVIÇOS DE ENGENHARIA – LICITAÇÃO</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Processo Administrativo </w:t>
      </w:r>
      <w:r w:rsidDel="00000000" w:rsidR="00000000" w:rsidRPr="00000000">
        <w:rPr>
          <w:rFonts w:ascii="Arial" w:cs="Arial" w:eastAsia="Arial" w:hAnsi="Arial"/>
          <w:b w:val="1"/>
          <w:rtl w:val="0"/>
        </w:rPr>
        <w:t xml:space="preserve">Nº 22336</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/2025.</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wxpjl58fo8u9"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CONDIÇÕES GERAIS DA CONTRATAÇÃO</w:t>
      </w:r>
      <w:r w:rsidDel="00000000" w:rsidR="00000000" w:rsidRPr="00000000">
        <w:rPr>
          <w:rtl w:val="0"/>
        </w:rPr>
      </w:r>
    </w:p>
    <w:p w:rsidR="00000000" w:rsidDel="00000000" w:rsidP="00000000" w:rsidRDefault="00000000" w:rsidRPr="00000000" w14:paraId="0000000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hanging="141.73228346456688"/>
        <w:jc w:val="both"/>
        <w:rPr>
          <w:rFonts w:ascii="Arial" w:cs="Arial" w:eastAsia="Arial" w:hAnsi="Arial"/>
          <w:b w:val="1"/>
        </w:rPr>
      </w:pPr>
      <w:bookmarkStart w:colFirst="0" w:colLast="0" w:name="_heading=h.8ima1sj1me73" w:id="1"/>
      <w:bookmarkEnd w:id="1"/>
      <w:r w:rsidDel="00000000" w:rsidR="00000000" w:rsidRPr="00000000">
        <w:rPr>
          <w:rFonts w:ascii="Arial" w:cs="Arial" w:eastAsia="Arial" w:hAnsi="Arial"/>
          <w:b w:val="1"/>
          <w:rtl w:val="0"/>
        </w:rPr>
        <w:t xml:space="preserve">1.1  </w:t>
      </w:r>
      <w:r w:rsidDel="00000000" w:rsidR="00000000" w:rsidRPr="00000000">
        <w:rPr>
          <w:rFonts w:ascii="Arial" w:cs="Arial" w:eastAsia="Arial" w:hAnsi="Arial"/>
          <w:rtl w:val="0"/>
        </w:rPr>
        <w:t xml:space="preserve">Este termo de referência traz um conjunto de elementos técnicos necessários e suficientes para caracterizar a obra de maneira precisa, possibilitando a estimativa de custos, a avaliação de viabilidade técnica e a definição clara do objeto a ser contratado, atendendo aos requisitos legais previstos na Lei nº 14.133/2021 (Nova Lei de Licitações), como projeto básico da obra.</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141.73228346456688"/>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1.2  Contratação integrada de empresa especializada para requalificação do Hospital Jorge Novis, situado na Av. Fortaleza, s/n, Largo do Caranguejo, Itinga, Lauro de Freitas-BA, abrangendo a elaboração dos projetos básico e executivo de engenharia e a execução das obras e serviços de requalificação física e funcional, conforme Termo de Referência/Anteprojeto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conforme condições e exigências estabelecidas neste instrumento.</w:t>
      </w:r>
      <w:r w:rsidDel="00000000" w:rsidR="00000000" w:rsidRPr="00000000">
        <w:rPr>
          <w:rtl w:val="0"/>
        </w:rPr>
      </w:r>
    </w:p>
    <w:tbl>
      <w:tblPr>
        <w:tblStyle w:val="Table1"/>
        <w:tblW w:w="10545.0" w:type="dxa"/>
        <w:jc w:val="left"/>
        <w:tblInd w:w="-690.0" w:type="dxa"/>
        <w:tblLayout w:type="fixed"/>
        <w:tblLook w:val="0400"/>
      </w:tblPr>
      <w:tblGrid>
        <w:gridCol w:w="840"/>
        <w:gridCol w:w="4305"/>
        <w:gridCol w:w="975"/>
        <w:gridCol w:w="1215"/>
        <w:gridCol w:w="1335"/>
        <w:gridCol w:w="1875"/>
        <w:tblGridChange w:id="0">
          <w:tblGrid>
            <w:gridCol w:w="840"/>
            <w:gridCol w:w="4305"/>
            <w:gridCol w:w="975"/>
            <w:gridCol w:w="1215"/>
            <w:gridCol w:w="1335"/>
            <w:gridCol w:w="1875"/>
          </w:tblGrid>
        </w:tblGridChange>
      </w:tblGrid>
      <w:tr>
        <w:trPr>
          <w:cantSplit w:val="1"/>
          <w:trHeight w:val="842.9296875"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CATSER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QUANTIDADE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VALOR TOTAL</w:t>
            </w:r>
          </w:p>
        </w:tc>
      </w:tr>
      <w:tr>
        <w:trPr>
          <w:cantSplit w:val="1"/>
          <w:trHeight w:val="227"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25.1968503937008"/>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ind w:hanging="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Contratação integrada de empresa especializada para requalificação do Hospital Jorge Novis, abrangendo a elaboração dos projetos básico e executivo de engenharia e a execução das obras e serviços de requalificação física e funcional, conforme Termo de Referência/Anteprojeto.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5622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Unidade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4">
            <w:pPr>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highlight w:val="white"/>
                <w:rtl w:val="0"/>
              </w:rPr>
              <w:t xml:space="preserve">R$ 5.565.248,50</w:t>
            </w:r>
            <w:r w:rsidDel="00000000" w:rsidR="00000000" w:rsidRPr="00000000">
              <w:rPr>
                <w:rtl w:val="0"/>
              </w:rPr>
            </w:r>
          </w:p>
        </w:tc>
      </w:tr>
    </w:tb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serviço(s) objeto desta contratação são caracterizados como </w:t>
      </w:r>
      <w:r w:rsidDel="00000000" w:rsidR="00000000" w:rsidRPr="00000000">
        <w:rPr>
          <w:rFonts w:ascii="Arial" w:cs="Arial" w:eastAsia="Arial" w:hAnsi="Arial"/>
          <w:rtl w:val="0"/>
        </w:rPr>
        <w:t xml:space="preserve">Obras e Serviços de Engenharia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conforme justificativa constante do Estudo Técnico Preliminar.</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prazo de vigência da contratação é de </w:t>
      </w:r>
      <w:r w:rsidDel="00000000" w:rsidR="00000000" w:rsidRPr="00000000">
        <w:rPr>
          <w:rFonts w:ascii="Arial" w:cs="Arial" w:eastAsia="Arial" w:hAnsi="Arial"/>
          <w:rtl w:val="0"/>
        </w:rPr>
        <w:t xml:space="preserve">12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meses contados da assinatura do contrato, na forma do artigo 105 da Lei n° 14.133, de 2021, sendo </w:t>
      </w:r>
      <w:r w:rsidDel="00000000" w:rsidR="00000000" w:rsidRPr="00000000">
        <w:rPr>
          <w:rFonts w:ascii="Arial" w:cs="Arial" w:eastAsia="Arial" w:hAnsi="Arial"/>
          <w:rtl w:val="0"/>
        </w:rPr>
        <w:t xml:space="preserve">210 dias de execução de projetos e obras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 </w:t>
      </w:r>
      <w:r w:rsidDel="00000000" w:rsidR="00000000" w:rsidRPr="00000000">
        <w:rPr>
          <w:rFonts w:ascii="Arial" w:cs="Arial" w:eastAsia="Arial" w:hAnsi="Arial"/>
          <w:rtl w:val="0"/>
        </w:rPr>
        <w:t xml:space="preserve">12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meses de contrato.</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1.5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contrato oferece maior detalhamento das regras que serão aplicadas em relação à vigência da contratação.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9">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FUNDAMENTAÇÃO E DESCRIÇÃO DA NECESSIDADE DA CONTRATAÇÃO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Fundamentação da Contratação e de seus quantitativos encontra-se pormenorizada em tópico específico dos Estudos Técnicos Preliminares, apêndice deste Termo de Referência.</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 A </w:t>
      </w:r>
      <w:r w:rsidDel="00000000" w:rsidR="00000000" w:rsidRPr="00000000">
        <w:rPr>
          <w:rFonts w:ascii="Arial" w:cs="Arial" w:eastAsia="Arial" w:hAnsi="Arial"/>
          <w:rtl w:val="0"/>
        </w:rPr>
        <w:t xml:space="preserve">presente</w:t>
      </w:r>
      <w:r w:rsidDel="00000000" w:rsidR="00000000" w:rsidRPr="00000000">
        <w:rPr>
          <w:rFonts w:ascii="Arial" w:cs="Arial" w:eastAsia="Arial" w:hAnsi="Arial"/>
          <w:rtl w:val="0"/>
        </w:rPr>
        <w:t xml:space="preserve"> contratação não se encontra no Plano de Contratações Anual de 2025, sendo solicitada a inclusão no instrumento.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559"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D">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DESCRIÇÃO DA SOLUÇÃO COMO UM TODO CONSIDERADO O CICLO DE VIDA DO OBJETO </w:t>
      </w:r>
    </w:p>
    <w:p w:rsidR="00000000" w:rsidDel="00000000" w:rsidP="00000000" w:rsidRDefault="00000000" w:rsidRPr="00000000" w14:paraId="0000001E">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1F">
      <w:pPr>
        <w:numPr>
          <w:ilvl w:val="1"/>
          <w:numId w:val="15"/>
        </w:numPr>
        <w:ind w:left="708.6614173228347" w:hanging="425.19685039370086"/>
        <w:jc w:val="both"/>
        <w:rPr>
          <w:rFonts w:ascii="Arial" w:cs="Arial" w:eastAsia="Arial" w:hAnsi="Arial"/>
          <w:sz w:val="24"/>
          <w:szCs w:val="24"/>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rtl w:val="0"/>
        </w:rPr>
        <w:t xml:space="preserve"> contratação integrada permite a unificação das etapas de projeto e execução, promovendo maior eficiência, inovação técnica e redução de riscos de incompatibilidade entre fases do empreendimento.</w:t>
      </w:r>
    </w:p>
    <w:p w:rsidR="00000000" w:rsidDel="00000000" w:rsidP="00000000" w:rsidRDefault="00000000" w:rsidRPr="00000000" w14:paraId="0000002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construção convencional não apenas atende aos requisitos técnicos e normativos exigidos para </w:t>
      </w:r>
      <w:r w:rsidDel="00000000" w:rsidR="00000000" w:rsidRPr="00000000">
        <w:rPr>
          <w:rFonts w:ascii="Arial" w:cs="Arial" w:eastAsia="Arial" w:hAnsi="Arial"/>
          <w:rtl w:val="0"/>
        </w:rPr>
        <w:t xml:space="preserve">qualificação do Hospital Jorge Novis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mas também garante a economicidade e a eficiência na utilização dos recursos públicos. A escolha desta metodologia foi baseada em uma análise criteriosa que levou em conta a variabilidade das condições regionais, o que é fundamental para assegurar que  construída </w:t>
      </w:r>
      <w:r w:rsidDel="00000000" w:rsidR="00000000" w:rsidRPr="00000000">
        <w:rPr>
          <w:rFonts w:ascii="Arial" w:cs="Arial" w:eastAsia="Arial" w:hAnsi="Arial"/>
          <w:rtl w:val="0"/>
        </w:rPr>
        <w:t xml:space="preserve">o Hospital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possa oferecer serviços de saúde com qualidade e segurança.</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modalidade de licitação adotada, a Concorrência Eletrônica, foi selecionada por ser a mais adequada às características d</w:t>
      </w:r>
      <w:r w:rsidDel="00000000" w:rsidR="00000000" w:rsidRPr="00000000">
        <w:rPr>
          <w:rFonts w:ascii="Arial" w:cs="Arial" w:eastAsia="Arial" w:hAnsi="Arial"/>
          <w:rtl w:val="0"/>
        </w:rPr>
        <w:t xml:space="preserve">o objeto,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considerando a sua complexidade técnica e os requisitos específicos d</w:t>
      </w:r>
      <w:r w:rsidDel="00000000" w:rsidR="00000000" w:rsidRPr="00000000">
        <w:rPr>
          <w:rFonts w:ascii="Arial" w:cs="Arial" w:eastAsia="Arial" w:hAnsi="Arial"/>
          <w:rtl w:val="0"/>
        </w:rPr>
        <w:t xml:space="preserve">a obra em Unidade Hospitalar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Este procedimento garante um processo competitivo e transparente, onde são avaliados não apenas os custos, mas também a capacidade técnica e a conformidade com as normas vigentes. </w:t>
      </w:r>
    </w:p>
    <w:p w:rsidR="00000000" w:rsidDel="00000000" w:rsidP="00000000" w:rsidRDefault="00000000" w:rsidRPr="00000000" w14:paraId="0000002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regime de empreitada por preço unitário é definido na Nova Lei de Licitações como regime de contratação da execução da obra ou do serviço em que o preço é fixado por unidade determinada. A remuneração da contratada é estabelecida em função dos serviços efetivamente executados, de modo que os contratantes não assumem grandes riscos em relação às diferenças de estimativas de quantitativos.</w:t>
      </w:r>
    </w:p>
    <w:p w:rsidR="00000000" w:rsidDel="00000000" w:rsidP="00000000" w:rsidRDefault="00000000" w:rsidRPr="00000000" w14:paraId="0000002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Tal regime é mais apropriado para os casos em que não se conhecem, de antemão, com alto nível de precisão, os quantitativos totais da obra ou serviço. A execução das unidades se dará de acordo com a necessidade observada, com a realização de medições periódicas para quantificar os serviços efetivamente executados.</w:t>
      </w:r>
    </w:p>
    <w:p w:rsidR="00000000" w:rsidDel="00000000" w:rsidP="00000000" w:rsidRDefault="00000000" w:rsidRPr="00000000" w14:paraId="0000002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Havendo diferença entre os quantitativos inicialmente previstos nas planilhas orçamentárias e os quantitativos efetivamente necessários, a remuneração devida à contratada deverá ser ajustada (reduzida ou majorada) a fim de refletir os quantitativos reais.</w:t>
      </w:r>
    </w:p>
    <w:p w:rsidR="00000000" w:rsidDel="00000000" w:rsidP="00000000" w:rsidRDefault="00000000" w:rsidRPr="00000000" w14:paraId="0000002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Esse regime deve ser adotado em face da imprecisão inerente à própria natureza do objeto, que está sujeito a variações, especialmente nos quantitativos, por fatores supervenientes ou não totalmente conhecidos na fase de planejamento.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559"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559"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8">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659zfzs2g2gg"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REQUISITOS DA CONTRATAÇÃO </w:t>
      </w:r>
      <w:r w:rsidDel="00000000" w:rsidR="00000000" w:rsidRPr="00000000">
        <w:rPr>
          <w:rtl w:val="0"/>
        </w:rPr>
      </w:r>
    </w:p>
    <w:p w:rsidR="00000000" w:rsidDel="00000000" w:rsidP="00000000" w:rsidRDefault="00000000" w:rsidRPr="00000000" w14:paraId="00000029">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Além dos critérios de sustentabilidade eventualmente inseridos na descrição do objeto devem ser atendidos os seguintes requisitos, que se baseiam no Guia Nacional de Contratações Sustentáveis:</w:t>
      </w:r>
    </w:p>
    <w:p w:rsidR="00000000" w:rsidDel="00000000" w:rsidP="00000000" w:rsidRDefault="00000000" w:rsidRPr="00000000" w14:paraId="0000002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09"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Adesão ao Guia Nacional de Contratações Sustentáveis; </w:t>
      </w:r>
    </w:p>
    <w:p w:rsidR="00000000" w:rsidDel="00000000" w:rsidP="00000000" w:rsidRDefault="00000000" w:rsidRPr="00000000" w14:paraId="000000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09"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Alinhamento com o Plano de Gestão e Logística Sustentável do órgão; </w:t>
      </w:r>
    </w:p>
    <w:p w:rsidR="00000000" w:rsidDel="00000000" w:rsidP="00000000" w:rsidRDefault="00000000" w:rsidRPr="00000000" w14:paraId="0000002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09"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Incorporação das dimensões ambientais, sociais, econômicas e culturais;</w:t>
      </w:r>
    </w:p>
    <w:p w:rsidR="00000000" w:rsidDel="00000000" w:rsidP="00000000" w:rsidRDefault="00000000" w:rsidRPr="00000000" w14:paraId="0000002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09"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Incorporação das dimensões ambientais, sociais, econômicas e culturais; </w:t>
      </w:r>
    </w:p>
    <w:p w:rsidR="00000000" w:rsidDel="00000000" w:rsidP="00000000" w:rsidRDefault="00000000" w:rsidRPr="00000000" w14:paraId="0000002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09"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Alinhamento com a Política Nacional de Meio Ambiente (Lei n.º 6938/1981); </w:t>
      </w:r>
    </w:p>
    <w:p w:rsidR="00000000" w:rsidDel="00000000" w:rsidP="00000000" w:rsidRDefault="00000000" w:rsidRPr="00000000" w14:paraId="0000003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09"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Alinhamento com a Política Nacional sobre Mudança do Clima (Lei n.º 12.187/2009); </w:t>
      </w:r>
    </w:p>
    <w:p w:rsidR="00000000" w:rsidDel="00000000" w:rsidP="00000000" w:rsidRDefault="00000000" w:rsidRPr="00000000" w14:paraId="0000003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09"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Alinhamento com a Política Nacional de Resíduos Sólidos (Lei n.º 12.305/2010);</w:t>
      </w:r>
    </w:p>
    <w:p w:rsidR="00000000" w:rsidDel="00000000" w:rsidP="00000000" w:rsidRDefault="00000000" w:rsidRPr="00000000" w14:paraId="0000003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Deverão ser observadas ainda as seguintes especificações Técnicas de Sustentabilidade:</w:t>
      </w:r>
    </w:p>
    <w:p w:rsidR="00000000" w:rsidDel="00000000" w:rsidP="00000000" w:rsidRDefault="00000000" w:rsidRPr="00000000" w14:paraId="0000003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Ventilação e Iluminação natural:</w:t>
      </w:r>
    </w:p>
    <w:p w:rsidR="00000000" w:rsidDel="00000000" w:rsidP="00000000" w:rsidRDefault="00000000" w:rsidRPr="00000000" w14:paraId="0000003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Design que maximiza luz natural; </w:t>
      </w:r>
    </w:p>
    <w:p w:rsidR="00000000" w:rsidDel="00000000" w:rsidP="00000000" w:rsidRDefault="00000000" w:rsidRPr="00000000" w14:paraId="0000003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Promoção de ventilação adequada para reduzir uso de sistemas artificiais;</w:t>
      </w:r>
    </w:p>
    <w:p w:rsidR="00000000" w:rsidDel="00000000" w:rsidP="00000000" w:rsidRDefault="00000000" w:rsidRPr="00000000" w14:paraId="0000003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Uso Racional da Água:</w:t>
      </w:r>
    </w:p>
    <w:p w:rsidR="00000000" w:rsidDel="00000000" w:rsidP="00000000" w:rsidRDefault="00000000" w:rsidRPr="00000000" w14:paraId="0000003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Implementação de sistemas de reuso de água cinza; </w:t>
      </w:r>
    </w:p>
    <w:p w:rsidR="00000000" w:rsidDel="00000000" w:rsidP="00000000" w:rsidRDefault="00000000" w:rsidRPr="00000000" w14:paraId="0000003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Sistemas de captação de água de chuva;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Energia Solar:</w:t>
      </w:r>
    </w:p>
    <w:p w:rsidR="00000000" w:rsidDel="00000000" w:rsidP="00000000" w:rsidRDefault="00000000" w:rsidRPr="00000000" w14:paraId="0000003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Instalação de painéis fotovoltaicos em locais estratégicos; </w:t>
      </w:r>
    </w:p>
    <w:p w:rsidR="00000000" w:rsidDel="00000000" w:rsidP="00000000" w:rsidRDefault="00000000" w:rsidRPr="00000000" w14:paraId="0000003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Materiais de Baixo Impacto Ambiental:</w:t>
      </w:r>
    </w:p>
    <w:p w:rsidR="00000000" w:rsidDel="00000000" w:rsidP="00000000" w:rsidRDefault="00000000" w:rsidRPr="00000000" w14:paraId="0000003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Seleção de materiais sustentáveis certificados; </w:t>
      </w:r>
    </w:p>
    <w:p w:rsidR="00000000" w:rsidDel="00000000" w:rsidP="00000000" w:rsidRDefault="00000000" w:rsidRPr="00000000" w14:paraId="0000003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Gerenciamento de Resíduos:</w:t>
      </w:r>
    </w:p>
    <w:p w:rsidR="00000000" w:rsidDel="00000000" w:rsidP="00000000" w:rsidRDefault="00000000" w:rsidRPr="00000000" w14:paraId="0000003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Planos para redução, reutilização e reciclagem de resíduos de construção; </w:t>
      </w:r>
    </w:p>
    <w:p w:rsidR="00000000" w:rsidDel="00000000" w:rsidP="00000000" w:rsidRDefault="00000000" w:rsidRPr="00000000" w14:paraId="0000004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Redução da Poluição: </w:t>
      </w:r>
    </w:p>
    <w:p w:rsidR="00000000" w:rsidDel="00000000" w:rsidP="00000000" w:rsidRDefault="00000000" w:rsidRPr="00000000" w14:paraId="0000004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Práticas para minimizar poluição durante construção e operação; </w:t>
      </w:r>
    </w:p>
    <w:p w:rsidR="00000000" w:rsidDel="00000000" w:rsidP="00000000" w:rsidRDefault="00000000" w:rsidRPr="00000000" w14:paraId="0000004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20" w:right="0" w:hanging="10.999999999999943"/>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Biodiversidade:</w:t>
      </w:r>
    </w:p>
    <w:p w:rsidR="00000000" w:rsidDel="00000000" w:rsidP="00000000" w:rsidRDefault="00000000" w:rsidRPr="00000000" w14:paraId="0000004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Proteção e promoção </w:t>
      </w:r>
      <w:r w:rsidDel="00000000" w:rsidR="00000000" w:rsidRPr="00000000">
        <w:rPr>
          <w:rFonts w:ascii="Arial" w:cs="Arial" w:eastAsia="Arial" w:hAnsi="Arial"/>
          <w:i w:val="1"/>
          <w:rtl w:val="0"/>
        </w:rPr>
        <w:t xml:space="preserve">da biodiversidade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no local da obra.</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144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04"/>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  Indicação de marcas ou modelos (Inciso I do art. 41 da lei nº 14.133, de 2021)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4.2.1 Na presente contratação não será necessária a indicação de nenhuma (s) marca(s), característica(s) ou modelo(s), de acordo com as justificativas contidas nos Estudos Técnicos Preliminares.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 Da vedação de utilização de marca/produto na execução do serviço (Inciso III do art. 41 da lei nº 14.133, de 2021)</w:t>
      </w:r>
    </w:p>
    <w:p w:rsidR="00000000" w:rsidDel="00000000" w:rsidP="00000000" w:rsidRDefault="00000000" w:rsidRPr="00000000" w14:paraId="0000004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Na presente contratação, a Administração não possui nenhum processo administrativo que prevê a possibilidade de vedar o fornecimento de algum produtos/marcas.</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4B">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Subcontratação</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rgxt8trqe5"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É admitida a subcontratação parcial do objeto, nas seguintes condições: </w:t>
      </w:r>
    </w:p>
    <w:p w:rsidR="00000000" w:rsidDel="00000000" w:rsidP="00000000" w:rsidRDefault="00000000" w:rsidRPr="00000000" w14:paraId="0000004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Subcontratação parcial: Admitida até o limite de 25% do valor total do contrato, excluindo-se as partes principais e de maior relevância.</w:t>
      </w:r>
    </w:p>
    <w:p w:rsidR="00000000" w:rsidDel="00000000" w:rsidP="00000000" w:rsidRDefault="00000000" w:rsidRPr="00000000" w14:paraId="0000004E">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contratado não pode transferir à subcontratada a atividade principal do contrato, sendo que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qualquer subcontratação deve ser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aprovada previamente pela Administração, que exigirá</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 a subcontratada comprove qualificação técnica e regularidade fiscal compatíveis com a parcela a ser executada.</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426"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contrato oferece maior detalhamento das regras que serão aplicadas em relação à subcontratação.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25"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426"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Garantia da contratação</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5.3.1 Será exigida a garantia da contratação de que tratam os arts. 96 e seguintes da Lei nº 14.133, de 2021, no percentual 10% e condições descritas nas cláusulas do contrato.</w:t>
      </w:r>
    </w:p>
    <w:p w:rsidR="00000000" w:rsidDel="00000000" w:rsidP="00000000" w:rsidRDefault="00000000" w:rsidRPr="00000000" w14:paraId="0000005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garantia, nas modalidades caução e fiança bancária, deverá ser prestada em até 10 dias úteis após a assinatura do contrato.</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 contrato oferece maior detalhamento das regras que serão aplicadas em relação à garantia da contratação.</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057">
      <w:pPr>
        <w:keepNext w:val="1"/>
        <w:keepLines w:val="1"/>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525"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Vistoria</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5.4.1 A avaliação prévia do local de execução dos serviços é imp</w:t>
      </w:r>
      <w:r w:rsidDel="00000000" w:rsidR="00000000" w:rsidRPr="00000000">
        <w:rPr>
          <w:rFonts w:ascii="Arial" w:cs="Arial" w:eastAsia="Arial" w:hAnsi="Arial"/>
          <w:i w:val="1"/>
          <w:rtl w:val="0"/>
        </w:rPr>
        <w:t xml:space="preserve">ortante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para o conhecimento pleno das condições e peculiaridades do objeto a ser contratado, sendo facultado ao interessado o direito de realização de vistoria prévia, acompanhado por servidor</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designado para esse fim, de segunda à sexta-feira, das 9 horas às 16 horas.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sz w:val="24"/>
          <w:szCs w:val="24"/>
          <w:u w:val="none"/>
          <w:shd w:fill="auto" w:val="clear"/>
          <w:vertAlign w:val="baseline"/>
        </w:rPr>
      </w:pP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Serão disponibilizados data e horário diferentes aos interessados em realizar a vistoria prévia, a qual poderá ser agendada através do e-mail: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saudelaurodefreitasrecursos@gmail.com</w:t>
      </w:r>
      <w:r w:rsidDel="00000000" w:rsidR="00000000" w:rsidRPr="00000000">
        <w:rPr>
          <w:rFonts w:ascii="Arial" w:cs="Arial" w:eastAsia="Arial" w:hAnsi="Arial"/>
          <w:rtl w:val="0"/>
        </w:rPr>
        <w:t xml:space="preserv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000000" w:rsidDel="00000000" w:rsidP="00000000" w:rsidRDefault="00000000" w:rsidRPr="00000000" w14:paraId="0000005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Caso o licitante opte por não realizar a vistoria, deverá prestar declaração formal assinada pelo responsável técnico do licitante acerca do conhecimento pleno das condições e peculiaridades da contratação.</w:t>
      </w:r>
    </w:p>
    <w:p w:rsidR="00000000" w:rsidDel="00000000" w:rsidP="00000000" w:rsidRDefault="00000000" w:rsidRPr="00000000" w14:paraId="0000005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MODELO DE EXECUÇÃO DO OBJETO</w:t>
      </w:r>
      <w:r w:rsidDel="00000000" w:rsidR="00000000" w:rsidRPr="00000000">
        <w:rPr>
          <w:rtl w:val="0"/>
        </w:rPr>
      </w:r>
    </w:p>
    <w:p w:rsidR="00000000" w:rsidDel="00000000" w:rsidP="00000000" w:rsidRDefault="00000000" w:rsidRPr="00000000" w14:paraId="00000061">
      <w:pPr>
        <w:keepNext w:val="1"/>
        <w:keepLines w:val="1"/>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Condições de execução</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6.1.1 A execução do objeto seguirá a seguinte dinâmica:</w:t>
      </w:r>
    </w:p>
    <w:p w:rsidR="00000000" w:rsidDel="00000000" w:rsidP="00000000" w:rsidRDefault="00000000" w:rsidRPr="00000000" w14:paraId="0000006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Início da execução do objeto: 05 dias após a assinatura DO CONTRATO; </w:t>
      </w:r>
    </w:p>
    <w:p w:rsidR="00000000" w:rsidDel="00000000" w:rsidP="00000000" w:rsidRDefault="00000000" w:rsidRPr="00000000" w14:paraId="0000006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Freqüência e periodicidade de execução do trabalho: As obras devem ser realizadas diariamente, de segunda a sexta feira das 08:00 às 17:00 horas e aos sábados de 08:00 às 12 horas, com possibilidade de ampliação de horário com autorização prévia da CONTRATANTE.</w:t>
      </w:r>
    </w:p>
    <w:p w:rsidR="00000000" w:rsidDel="00000000" w:rsidP="00000000" w:rsidRDefault="00000000" w:rsidRPr="00000000" w14:paraId="0000006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Cronograma de realização dos serviços: Os serviços terão medição realizada de 30 em 30 dias, de acordo com meta estabelecida em cronograma de trabalho.</w:t>
      </w:r>
    </w:p>
    <w:p w:rsidR="00000000" w:rsidDel="00000000" w:rsidP="00000000" w:rsidRDefault="00000000" w:rsidRPr="00000000" w14:paraId="00000066">
      <w:pPr>
        <w:keepNext w:val="1"/>
        <w:keepLines w:val="1"/>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Local e horário da prestação dos serviços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color w:val="000000"/>
          <w:u w:val="no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6.2.1 Os serviços serão prestados n</w:t>
      </w:r>
      <w:r w:rsidDel="00000000" w:rsidR="00000000" w:rsidRPr="00000000">
        <w:rPr>
          <w:rFonts w:ascii="Arial" w:cs="Arial" w:eastAsia="Arial" w:hAnsi="Arial"/>
          <w:rtl w:val="0"/>
        </w:rPr>
        <w:t xml:space="preserve">o Hospital Jorge Novis situado à Av. Fortaleza, s/n, Largo do Caranguejo, Itinga, Lauro de Freitas-BA.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COORDENADAS EXATAS:</w:t>
      </w:r>
      <w:r w:rsidDel="00000000" w:rsidR="00000000" w:rsidRPr="00000000">
        <w:rPr>
          <w:rFonts w:ascii="Arial" w:cs="Arial" w:eastAsia="Arial" w:hAnsi="Arial"/>
          <w:color w:val="000000"/>
          <w:u w:val="none"/>
          <w:rtl w:val="0"/>
        </w:rPr>
        <w:t xml:space="preserve"> </w:t>
      </w:r>
      <w:hyperlink r:id="rId7">
        <w:r w:rsidDel="00000000" w:rsidR="00000000" w:rsidRPr="00000000">
          <w:rPr>
            <w:rFonts w:ascii="Arial" w:cs="Arial" w:eastAsia="Arial" w:hAnsi="Arial"/>
            <w:color w:val="1155cc"/>
            <w:u w:val="single"/>
            <w:rtl w:val="0"/>
          </w:rPr>
          <w:t xml:space="preserve">https://maps.app.goo.gl/HesVTNLT3siQQ9qX8</w:t>
        </w:r>
      </w:hyperlink>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serviços serão prestados no seguinte horário: 08:00 às 17:00 horas de segunda à sexta e de 8:00 às 12:00 </w:t>
      </w:r>
      <w:r w:rsidDel="00000000" w:rsidR="00000000" w:rsidRPr="00000000">
        <w:rPr>
          <w:rFonts w:ascii="Arial" w:cs="Arial" w:eastAsia="Arial" w:hAnsi="Arial"/>
          <w:rtl w:val="0"/>
        </w:rPr>
        <w:t xml:space="preserve">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oras de sábado. Podendo ser executado em dia e horário alternativo, com prévia autorização.</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B">
      <w:pPr>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525" w:right="0" w:hanging="525"/>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Materiais a serem disponibilizados</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6.3.1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a perfeita execução dos serviços, a Contratada deverá disponibilizar os materiais, equipamentos, ferramentas e utensílios necessários, nas quantidades estimadas e qualidades a seguir estabelecidas, promovendo sua substituição quando necessário: Os materiais a serem utilizados devem seguir rigorosamente os memoriais descritivos e especificações técnica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D">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6.4 Especificação da garantia do serviço (art. 40, §1º, inciso III, da Lei nº 14.133, de 2021)</w:t>
      </w:r>
    </w:p>
    <w:p w:rsidR="00000000" w:rsidDel="00000000" w:rsidP="00000000" w:rsidRDefault="00000000" w:rsidRPr="00000000" w14:paraId="0000006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 prazo de garantia contratual dos serviços, complementar à garantia legal, será de 12 (doze) meses, contado a partir do primeiro dia útil subsequente à data do recebimento definitivo do objeto.</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070">
      <w:pPr>
        <w:keepNext w:val="1"/>
        <w:keepLines w:val="1"/>
        <w:pageBreakBefore w:val="0"/>
        <w:widowControl w:val="1"/>
        <w:numPr>
          <w:ilvl w:val="1"/>
          <w:numId w:val="20"/>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525" w:right="0" w:hanging="525"/>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Procedimentos de transição e finalização do contrato</w:t>
      </w:r>
    </w:p>
    <w:p w:rsidR="00000000" w:rsidDel="00000000" w:rsidP="00000000" w:rsidRDefault="00000000" w:rsidRPr="00000000" w14:paraId="0000007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Não serão necessários procedimentos de transição e finalização do contrato devido às características do objeto.</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MODELO DE GESTÃO DO CONTRATO</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contrato deverá ser executado fielmente pelas partes, de acordo com as cláusulas avençadas e as normas da </w:t>
      </w:r>
      <w:hyperlink r:id="rId8">
        <w:r w:rsidDel="00000000" w:rsidR="00000000" w:rsidRPr="00000000">
          <w:rPr>
            <w:rFonts w:ascii="Arial" w:cs="Arial" w:eastAsia="Arial" w:hAnsi="Arial"/>
            <w:b w:val="0"/>
            <w:i w:val="0"/>
            <w:smallCaps w:val="0"/>
            <w:strike w:val="0"/>
            <w:color w:val="000080"/>
            <w:sz w:val="24"/>
            <w:szCs w:val="24"/>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 cada parte responderá pelas </w:t>
      </w:r>
      <w:r w:rsidDel="00000000" w:rsidR="00000000" w:rsidRPr="00000000">
        <w:rPr>
          <w:rFonts w:ascii="Arial" w:cs="Arial" w:eastAsia="Arial" w:hAnsi="Arial"/>
          <w:rtl w:val="0"/>
        </w:rPr>
        <w:t xml:space="preserve">consequências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sua inexecução total ou parcial.</w:t>
      </w:r>
    </w:p>
    <w:p w:rsidR="00000000" w:rsidDel="00000000" w:rsidP="00000000" w:rsidRDefault="00000000" w:rsidRPr="00000000" w14:paraId="0000007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 caso de impedimento, ordem de paralisação ou suspensão do contrato, o cronograma de execução será prorrogado automaticamente pelo tempo correspondente, anotadas tais circunstâncias mediante simples apostila.</w:t>
      </w:r>
    </w:p>
    <w:p w:rsidR="00000000" w:rsidDel="00000000" w:rsidP="00000000" w:rsidRDefault="00000000" w:rsidRPr="00000000" w14:paraId="0000007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comunicações entre o órgão ou entidade e a contratada devem ser realizadas por escrito sempre que o ato exigir tal formalidade, admitindo-se o uso de mensagem eletrônica para esse fim.</w:t>
      </w:r>
    </w:p>
    <w:p w:rsidR="00000000" w:rsidDel="00000000" w:rsidP="00000000" w:rsidRDefault="00000000" w:rsidRPr="00000000" w14:paraId="0000007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órgão ou entidade poderá convocar representante da empresa para adoção de providências que devam ser cumpridas de imediato.</w:t>
      </w:r>
    </w:p>
    <w:p w:rsidR="00000000" w:rsidDel="00000000" w:rsidP="00000000" w:rsidRDefault="00000000" w:rsidRPr="00000000" w14:paraId="0000007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Preposto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Contratada designará formalmente o preposto da empresa, antes do início da prestação dos serviços, indicando no instrumento os poderes e deveres em relação à execução do objeto contratado.</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Contratada deverá manter preposto da empresa no local da execução do objeto durante o todo período contratual.</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Contratante poderá recusar, desde que justificadamente, a indicação ou a manutenção do preposto da empresa, hipótese em que a Contratada designará outro para o exercício da atividade.</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Fiscalização</w:t>
      </w:r>
      <w:r w:rsidDel="00000000" w:rsidR="00000000" w:rsidRPr="00000000">
        <w:rPr>
          <w:rtl w:val="0"/>
        </w:rPr>
      </w:r>
    </w:p>
    <w:p w:rsidR="00000000" w:rsidDel="00000000" w:rsidP="00000000" w:rsidRDefault="00000000" w:rsidRPr="00000000" w14:paraId="0000007E">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7.9</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execução do contrato deverá ser acompanhada e fiscalizada pelo(s) fiscal(is) do contrato, ou pelos respectivos substitutos (Lei nº 14.133, de 2021, art. 117, caput).</w:t>
      </w:r>
    </w:p>
    <w:p w:rsidR="00000000" w:rsidDel="00000000" w:rsidP="00000000" w:rsidRDefault="00000000" w:rsidRPr="00000000" w14:paraId="000000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65"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técnico do contrato acompanhará a execução do contrato, para que sejam cumpridas todas as condições estabelecidas no contrato, de modo a assegurar os melhores resultados para a Administração. (Decreto nº 11.246, de 2022, art. 22, VI);</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65"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Identificada qualquer inexatidão ou irregularidade, o fiscal técnico do contrato emitirá notificações para a correção da execução do contrato, determinando prazo para a correção. (Decreto nº 11.246, de 2022, art. 22, III); </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caso de ocorrências que possam inviabilizar a execução do contrato nas datas aprazadas, o fiscal técnico do contrato comunicará o fato imediatamente ao gestor do contrato. (Decreto nº 11.246, de 2022, art. 22, V);</w:t>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técnico do contrato comunicará ao gestor do contrato, em tempo hábil, o término do contrato sob sua responsabilidade, com vistas à tempestiva renovação ou à prorrogação contratual (Decreto nº 11.246, de 2022, art. 22, VII).</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5"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Fiscalização Administrativa</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Deverá ainda observar os seguintes normativos: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Lei nº 14.133, de 1º de abril de 2021, Lei de Licitações e Contratos Administrativos;  </w:t>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Lei nº 5.194, de 24 de dezembro 1966, que regula o exercício das profissões de Engenharia e dá outras providências; </w:t>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Lei nº 12.378/2010 regula o exercício da Arquitetura e cria o Conselho de Arquitetura e Urbanismo do Brasil (CAU/BR) e das Unidades da Federação (CAU/UF); </w:t>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426"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Portaria GM/MS nº 1.604, de 18 de outubro de 2023, que institui a Política Nacional de Atenção Especializada em Saúde (PNAES) no âmbito do SUS.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RDC 63/2011 ANVISA - Requisitos de Boas Práticas de Funcionamento para os Serviços de Saúde. </w:t>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RDC 222/2018 ANVISA - Regulamenta as Boas Práticas de Gerenciamento dos Resíduos de Serviços de Saúde </w:t>
      </w:r>
    </w:p>
    <w:p w:rsidR="00000000" w:rsidDel="00000000" w:rsidP="00000000" w:rsidRDefault="00000000" w:rsidRPr="00000000" w14:paraId="0000009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RDC 36/2013 ANVISA - Institui ações para a segurança do paciente em serviços de saúde. </w:t>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RDC 15/2012 ANVISA – Requisitos de boas práticas para o processamento de produtos para saúde. </w:t>
      </w:r>
    </w:p>
    <w:p w:rsidR="00000000" w:rsidDel="00000000" w:rsidP="00000000" w:rsidRDefault="00000000" w:rsidRPr="00000000" w14:paraId="000000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RDC Nº 611/2022, ANVISA- Estabelece os requisitos sanitários para a organização e o funcionamento de serviços de radiologia diagnóstica ou intervencionista e regulamenta o controle das exposições médicas, ocupacionais e do público decorrentes do uso de tecnologias radiológicas diagnósticas ou intervencionistas, e demais Normas como as NBR/ABNT. </w:t>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RDC 197/2017 - Requisitos mínimos para o funcionamento dos serviços de vacinação humana. </w:t>
      </w:r>
    </w:p>
    <w:p w:rsidR="00000000" w:rsidDel="00000000" w:rsidP="00000000" w:rsidRDefault="00000000" w:rsidRPr="00000000" w14:paraId="000000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RDC 50/2002 - Regulamento Técnico para planejamento, programação, elaboração e avaliação de projetos físicos de estabelecimentos assistenciais de saúde.</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Resolução Conama nº 307, de 05 de julho de 2002, que estabelece diretrizes, critérios e procedimentos para a gestão dos resíduos da construção civil. </w:t>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Resolução Conama nº 358/2005 – Tratamento e a disposição final dos resíduos dos serviços de saúde. </w:t>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ABNT NBR 9050/2020 - Acessibilidade a edificações, mobiliário, espaços e equipamentos urbanos </w:t>
      </w:r>
    </w:p>
    <w:p w:rsidR="00000000" w:rsidDel="00000000" w:rsidP="00000000" w:rsidRDefault="00000000" w:rsidRPr="00000000" w14:paraId="0000009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ABNT NBR 12.188/2016 – Sistema centralizados de suprimentos de gases medicinais, de gases para dispositivos médicos e de vácuo para uso em estabelecimentos de saúde. </w:t>
      </w:r>
    </w:p>
    <w:p w:rsidR="00000000" w:rsidDel="00000000" w:rsidP="00000000" w:rsidRDefault="00000000" w:rsidRPr="00000000" w14:paraId="0000009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ABNT NBR 7256/2016 – Tratamento de ar em Estabelecimento Assistencial de Saúde (EAS) – Requisitos para projetos e execução das instalações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Gestor do contrato</w:t>
      </w:r>
    </w:p>
    <w:p w:rsidR="00000000" w:rsidDel="00000000" w:rsidP="00000000" w:rsidRDefault="00000000" w:rsidRPr="00000000" w14:paraId="0000009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000000" w:rsidDel="00000000" w:rsidP="00000000" w:rsidRDefault="00000000" w:rsidRPr="00000000" w14:paraId="0000009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000000" w:rsidDel="00000000" w:rsidP="00000000" w:rsidRDefault="00000000" w:rsidRPr="00000000" w14:paraId="000000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000000" w:rsidDel="00000000" w:rsidP="00000000" w:rsidRDefault="00000000" w:rsidRPr="00000000" w14:paraId="000000A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426" w:right="0" w:hanging="46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gestor do contrato deverá enviar a documentação pertinente ao setor de contratos para a formalização dos procedimentos de liquidação e pagamento, no valor dimensionado pela fiscalização e gestão nos termos do contrato.</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CRITÉRIOS DE MEDIÇÃO E PAGAMENTO</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avaliação da execução do objeto utilizará os critérios do disposto neste item:</w:t>
      </w:r>
    </w:p>
    <w:p w:rsidR="00000000" w:rsidDel="00000000" w:rsidP="00000000" w:rsidRDefault="00000000" w:rsidRPr="00000000" w14:paraId="000000A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Será indicada a retenção ou glosa no pagamento, proporcional à irregularidade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verificada, sem prejuízo das sanções cabíveis, caso se constate que a Contratada:</w:t>
      </w:r>
    </w:p>
    <w:p w:rsidR="00000000" w:rsidDel="00000000" w:rsidP="00000000" w:rsidRDefault="00000000" w:rsidRPr="00000000" w14:paraId="000000A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0" w:before="0" w:line="240" w:lineRule="auto"/>
        <w:ind w:left="15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não produzir os resultados acordados,</w:t>
      </w:r>
    </w:p>
    <w:p w:rsidR="00000000" w:rsidDel="00000000" w:rsidP="00000000" w:rsidRDefault="00000000" w:rsidRPr="00000000" w14:paraId="000000A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0" w:before="0" w:line="240" w:lineRule="auto"/>
        <w:ind w:left="15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deixar de executar, ou não executar com a qualidade mínima exigida as atividades contratadas; ou</w:t>
      </w:r>
    </w:p>
    <w:p w:rsidR="00000000" w:rsidDel="00000000" w:rsidP="00000000" w:rsidRDefault="00000000" w:rsidRPr="00000000" w14:paraId="000000A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0" w:before="0" w:line="240" w:lineRule="auto"/>
        <w:ind w:left="15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deixar de utilizar materiais e recursos humanos exigidos para a execução do serviço, ou utilizá-los com qualidade ou quantidade inferior à demandada.</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8.3 A utilização do IMR não impede a aplicação concomitante de outros mecanismos para a avaliação da prestação dos serviços.</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8.4 A aferição da execução contratual para fins de pagamento considerará os seguintes critérios:</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 recebimento</w:t>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12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Ao final de cada etapa da execução contratual, conforme previsto no Cronograma Físico-Financeiro, o Contratado apresentará a medição prévia dos serviços executados no período, por meio de planilha e memória de cálculo detalhada.</w:t>
      </w:r>
    </w:p>
    <w:p w:rsidR="00000000" w:rsidDel="00000000" w:rsidP="00000000" w:rsidRDefault="00000000" w:rsidRPr="00000000" w14:paraId="000000A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12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Uma etapa será considerada efetivamente concluída quando os serviços previstos para aquela etapa, no Cronograma Físico-Financeiro, estiverem executados em sua totalidade.</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12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contratado também apresentará, a cada medição, os documentos comprobatórios da procedência legal dos produtos e subprodutos florestais utilizados naquela etapa da execução contratual, quando for o caso.</w:t>
      </w:r>
    </w:p>
    <w:p w:rsidR="00000000" w:rsidDel="00000000" w:rsidP="00000000" w:rsidRDefault="00000000" w:rsidRPr="00000000" w14:paraId="000000B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567"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serviços serão recebidos provisoriamente, no prazo de 15 (quinze) dias, pelos fiscais técnico e administrativo, mediante termos detalhados, quando verificado o cumprimento das exigências de caráter técnico e administrativo. (Art. 140, I, a , da Lei nº 14.133 e Arts. 22, X e 23, X do Decreto nº 11.246, de 2022).</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567"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prazo da disposição acima será contado do recebimento de comunicação de cobrança oriunda do contratado com a comprovação da prestação dos serviços a que se referem a parcela a ser paga.</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567"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técnico do contrato realizará o recebimento provisório do objeto do contrato mediante termo detalhado que comprove o cumprimento das exigências de caráter técnico. (Art. 22, X, Decreto nº 11.246, de 2022).</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administrativo do contrato realizará o recebimento provisório do objeto do contrato mediante termo detalhado que comprove o cumprimento das exigências de caráter administrativo. (Art. 23, X, Decreto nº 11.246, de 2022)</w:t>
      </w:r>
    </w:p>
    <w:p w:rsidR="00000000" w:rsidDel="00000000" w:rsidP="00000000" w:rsidRDefault="00000000" w:rsidRPr="00000000" w14:paraId="000000B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fiscal setorial do contrato, quando houver, realizará o recebimento provisório sob o ponto de vista técnico e administrativo.</w:t>
      </w:r>
    </w:p>
    <w:p w:rsidR="00000000" w:rsidDel="00000000" w:rsidP="00000000" w:rsidRDefault="00000000" w:rsidRPr="00000000" w14:paraId="000000B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000000" w:rsidDel="00000000" w:rsidP="00000000" w:rsidRDefault="00000000" w:rsidRPr="00000000" w14:paraId="000000B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Será considerado como ocorrido o recebimento provisório com a entrega do termo detalhado ou, em havendo mais de um a ser feito, com a entrega do último.</w:t>
      </w:r>
    </w:p>
    <w:p w:rsidR="00000000" w:rsidDel="00000000" w:rsidP="00000000" w:rsidRDefault="00000000" w:rsidRPr="00000000" w14:paraId="000000B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00000" w:rsidDel="00000000" w:rsidP="00000000" w:rsidRDefault="00000000" w:rsidRPr="00000000" w14:paraId="000000B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fiscalização não efetuará o ateste da última e/ou única medição de serviços até que sejam sanadas todas as eventuais pendências que possam vir a ser apontadas no Recebimento Provisório. (Art. 119 c/c art. 140 da Lei nº 14133, de 2021)</w:t>
      </w:r>
    </w:p>
    <w:p w:rsidR="00000000" w:rsidDel="00000000" w:rsidP="00000000" w:rsidRDefault="00000000" w:rsidRPr="00000000" w14:paraId="000000B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recebimento provisório também ficará sujeito, quando cabível, à conclusão de todos os testes de campo e à entrega dos Manuais e Instruções exigíveis.</w:t>
      </w:r>
    </w:p>
    <w:p w:rsidR="00000000" w:rsidDel="00000000" w:rsidP="00000000" w:rsidRDefault="00000000" w:rsidRPr="00000000" w14:paraId="000000B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serviços poderão ser rejeitados, no todo ou em parte, quando em desacordo com as especificações constantes neste Termo de Referência e na proposta, sem prejuízo da aplicação das penalidades.</w:t>
      </w:r>
    </w:p>
    <w:p w:rsidR="00000000" w:rsidDel="00000000" w:rsidP="00000000" w:rsidRDefault="00000000" w:rsidRPr="00000000" w14:paraId="000000B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567"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00000" w:rsidDel="00000000" w:rsidP="00000000" w:rsidRDefault="00000000" w:rsidRPr="00000000" w14:paraId="000000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567"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rsidR="00000000" w:rsidDel="00000000" w:rsidP="00000000" w:rsidRDefault="00000000" w:rsidRPr="00000000" w14:paraId="000000B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rsidR="00000000" w:rsidDel="00000000" w:rsidP="00000000" w:rsidRDefault="00000000" w:rsidRPr="00000000" w14:paraId="000000B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Emitir Termo Detalhado para efeito de recebimento definitivo dos serviços prestados, com base nos relatórios e documentações apresentadas; e</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Comunicar a empresa para que emita a Nota Fiscal ou Fatura, com o valor exato dimensionado pela fiscalização.</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Enviar a documentação pertinente ao setor de contratos para a formalização dos procedimentos de liquidação e pagamento, no valor dimensionado pela fiscalização e gestão.</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caso de controvérsia sobre a execução do objeto, quanto à dimensão, qualidade e quantidade, deverá ser observado o teor do </w:t>
      </w:r>
      <w:hyperlink r:id="r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art. 143 da Lei nº 14.133, de 2021</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comunicando-se à empresa para emissão de Nota Fiscal no que pertine à parcela incontroversa da execução do objeto, para efeito de liquidação e pagamento.</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hanging="99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Liquidação</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567"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Recebida a Nota Fiscal ou documento de cobrança equivalente, correrá o prazo de dez dias úteis para fins de liquidação, na forma desta seção, prorrogáveis por igual período, nos termos do art. 7º, §2º da Instrução Normativa SEGES/ME nº 77/2022.</w:t>
      </w:r>
    </w:p>
    <w:p w:rsidR="00000000" w:rsidDel="00000000" w:rsidP="00000000" w:rsidRDefault="00000000" w:rsidRPr="00000000" w14:paraId="000000C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99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prazo de que trata o item anterior será reduzido à metade, mantendo-se a possibilidade de prorrogação, nos casos de contratações decorrentes de despesas cujos valores não ultrapassem o limite de que trata o inciso II do art. 75 da Lei nº 14.133, de 2021.</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567"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fins de liquidação, o setor competente deve verificar se a Nota Fiscal ou Fatura apresentada expressa os elementos necessários e essenciais do documento, tais como: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o prazo de validade;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a data da emissão;</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os dados do contrato e do órgão contratante;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o período respectivo de execução do contrato;</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o valor a pagar; 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eventual destaque do valor de retenções tributárias cabíveis.</w:t>
      </w:r>
    </w:p>
    <w:p w:rsidR="00000000" w:rsidDel="00000000" w:rsidP="00000000" w:rsidRDefault="00000000" w:rsidRPr="00000000" w14:paraId="000000D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426"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000000" w:rsidDel="00000000" w:rsidP="00000000" w:rsidRDefault="00000000" w:rsidRPr="00000000" w14:paraId="000000D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426"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Nota Fiscal ou Fatura deverá ser obrigatoriamente acompanhada da comprovação da regularidade fiscal, constatada por meio de consulta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on-line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ao SICAF ou, na impossibilidade de acesso ao referido Sistema, mediante consulta aos sítios eletrônicos oficiais ou à documentação mencionada no art. 68 da Lei nº 14.133/2021.</w:t>
      </w:r>
    </w:p>
    <w:p w:rsidR="00000000" w:rsidDel="00000000" w:rsidP="00000000" w:rsidRDefault="00000000" w:rsidRPr="00000000" w14:paraId="000000D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0D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0D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0D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Havendo a efetiva execução do objeto, os pagamentos serão realizados normalmente, até que se decida pela rescisão do contrato, caso o contratado não regularize sua situação junto ao SICAF.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Prazo de pagamento</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pagamento será efetuado no prazo máximo de</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até dez dias úteis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contados da finalização da liquidação da despesa, conforme seção anterior, nos termos da Instrução Normativa SEGES/ME nº 77, de 2022.</w:t>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caso de atraso pelo Contratante, os valores devidos ao contratado serão atualizados monetariamente entre o termo final do prazo de pagamento até a data de sua efetiva realização, mediante aplicação do índice Nacional de Custo de Construção (INCC) de correção monetária.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Forma de pagamento</w:t>
      </w:r>
    </w:p>
    <w:p w:rsidR="00000000" w:rsidDel="00000000" w:rsidP="00000000" w:rsidRDefault="00000000" w:rsidRPr="00000000" w14:paraId="000000D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pagamento será realizado através de ordem bancária, para crédito em banco, agência e conta corrente indicados pelo contratado.</w:t>
      </w:r>
    </w:p>
    <w:p w:rsidR="00000000" w:rsidDel="00000000" w:rsidP="00000000" w:rsidRDefault="00000000" w:rsidRPr="00000000" w14:paraId="000000D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Será considerada data do pagamento o dia em que constar como emitida a ordem bancária para pagamento.</w:t>
      </w:r>
    </w:p>
    <w:p w:rsidR="00000000" w:rsidDel="00000000" w:rsidP="00000000" w:rsidRDefault="00000000" w:rsidRPr="00000000" w14:paraId="000000D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Quando do pagamento, será efetuada a retenção tributária prevista na legislação aplicável.</w:t>
      </w:r>
    </w:p>
    <w:p w:rsidR="00000000" w:rsidDel="00000000" w:rsidP="00000000" w:rsidRDefault="00000000" w:rsidRPr="00000000" w14:paraId="000000D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Independentemente do percentual de tributo inserido na planilha, quando houver, serão retidos na fonte, quando da realização do pagamento, os percentuais estabelecidos na legislação vigente.</w:t>
      </w:r>
    </w:p>
    <w:p w:rsidR="00000000" w:rsidDel="00000000" w:rsidP="00000000" w:rsidRDefault="00000000" w:rsidRPr="00000000" w14:paraId="000000E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 reajuste</w:t>
      </w:r>
    </w:p>
    <w:p w:rsidR="00000000" w:rsidDel="00000000" w:rsidP="00000000" w:rsidRDefault="00000000" w:rsidRPr="00000000" w14:paraId="000000E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808"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valores contratados poderão ser reajustados após o período mínimo de 12 (dez) meses, contados a partir da data-base da apresentação da proposta.</w:t>
      </w:r>
    </w:p>
    <w:p w:rsidR="00000000" w:rsidDel="00000000" w:rsidP="00000000" w:rsidRDefault="00000000" w:rsidRPr="00000000" w14:paraId="000000E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808"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reajuste será realizado com base no SINAPI (Sistema Nacional de Pesquisa de Custos e Índices da Construção Civil – IBGE/CAIXA</w:t>
      </w:r>
      <w:r w:rsidDel="00000000" w:rsidR="00000000" w:rsidRPr="00000000">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Reequilíbrio econômico financeiro</w:t>
      </w:r>
    </w:p>
    <w:p w:rsidR="00000000" w:rsidDel="00000000" w:rsidP="00000000" w:rsidRDefault="00000000" w:rsidRPr="00000000" w14:paraId="000000E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808" w:right="0" w:hanging="5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Caso o CONTRATADO requeira reequilíbrio econômico financeiro do contrato, fica o CONTRATANTE obrigado a responder em até 60 (sessenta) dias da data do requerimento ou da data que forem apresentados os documentos necessários para apreciação do pedido.</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FORMA E CRITÉRIOS DE SELEÇÃO DO FORNECEDOR E REGIME DE EXECUÇÃO</w:t>
      </w:r>
      <w:r w:rsidDel="00000000" w:rsidR="00000000" w:rsidRPr="00000000">
        <w:rPr>
          <w:rtl w:val="0"/>
        </w:rPr>
      </w:r>
    </w:p>
    <w:p w:rsidR="00000000" w:rsidDel="00000000" w:rsidP="00000000" w:rsidRDefault="00000000" w:rsidRPr="00000000" w14:paraId="000000E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Forma de seleção e critério de julgamento da proposta</w:t>
      </w:r>
    </w:p>
    <w:p w:rsidR="00000000" w:rsidDel="00000000" w:rsidP="00000000" w:rsidRDefault="00000000" w:rsidRPr="00000000" w14:paraId="000000E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32"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fornecedor será selecionado por meio da realização de procedimento de LICITAÇÃO, na modalidade CONCORRÊNCIA, sob a forma ELETRÔNICA, com adoção do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critério de julgamento pelo MENOR PREÇO GLOBAL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regime de execução do contrato será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empreitada por preço unitário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B">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42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Critérios de aceitabilidade de preços</w:t>
      </w:r>
    </w:p>
    <w:p w:rsidR="00000000" w:rsidDel="00000000" w:rsidP="00000000" w:rsidRDefault="00000000" w:rsidRPr="00000000" w14:paraId="000000E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Ressalvado o objeto ou parte dele sujeito ao regime de empreitada por preço unitário, o critério de aceitabilidade de preços será o valor global estimado para a contratação.</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0" w:before="0" w:line="240" w:lineRule="auto"/>
        <w:ind w:left="850.3937007874017" w:right="0" w:firstLine="283.4645669291333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w:t>
        <w:tab/>
        <w:t xml:space="preserve"> 14.133/2021 - </w:t>
      </w:r>
      <w:r w:rsidDel="00000000" w:rsidR="00000000" w:rsidRPr="00000000">
        <w:rPr>
          <w:rFonts w:ascii="Arial" w:cs="Arial" w:eastAsia="Arial" w:hAnsi="Arial"/>
          <w:b w:val="0"/>
          <w:i w:val="1"/>
          <w:smallCaps w:val="0"/>
          <w:strike w:val="0"/>
          <w:color w:val="ff0000"/>
          <w:sz w:val="24"/>
          <w:szCs w:val="24"/>
          <w:u w:val="none"/>
          <w:shd w:fill="auto" w:val="clear"/>
          <w:vertAlign w:val="baseline"/>
          <w:rtl w:val="0"/>
        </w:rPr>
        <w:t xml:space="preserve">Modelo anexo </w:t>
      </w:r>
      <w:r w:rsidDel="00000000" w:rsidR="00000000" w:rsidRPr="00000000">
        <w:rPr>
          <w:rFonts w:ascii="Arial" w:cs="Arial" w:eastAsia="Arial" w:hAnsi="Arial"/>
          <w:i w:val="1"/>
          <w:color w:val="ff0000"/>
          <w:rtl w:val="0"/>
        </w:rPr>
        <w:t xml:space="preserve">II</w:t>
      </w:r>
      <w:r w:rsidDel="00000000" w:rsidR="00000000" w:rsidRPr="00000000">
        <w:rPr>
          <w:rFonts w:ascii="Arial" w:cs="Arial" w:eastAsia="Arial" w:hAnsi="Arial"/>
          <w:b w:val="0"/>
          <w:i w:val="1"/>
          <w:smallCaps w:val="0"/>
          <w:strike w:val="0"/>
          <w:color w:val="ff0000"/>
          <w:sz w:val="24"/>
          <w:szCs w:val="24"/>
          <w:u w:val="none"/>
          <w:shd w:fill="auto" w:val="clear"/>
          <w:vertAlign w:val="baseline"/>
          <w:rtl w:val="0"/>
        </w:rPr>
        <w:t xml:space="preserve"> ao ETP</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Para o objeto ou parte dele sujeito ao regime de empreitada por preço unitário o critério de aceitabilidade de preços será de custos unitários menores do que os orçados pela Administração.</w:t>
      </w:r>
      <w:r w:rsidDel="00000000" w:rsidR="00000000" w:rsidRPr="00000000">
        <w:rPr>
          <w:rtl w:val="0"/>
        </w:rPr>
      </w:r>
    </w:p>
    <w:p w:rsidR="00000000" w:rsidDel="00000000" w:rsidP="00000000" w:rsidRDefault="00000000" w:rsidRPr="00000000" w14:paraId="000000E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F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Exigências de habilitação</w:t>
      </w:r>
    </w:p>
    <w:p w:rsidR="00000000" w:rsidDel="00000000" w:rsidP="00000000" w:rsidRDefault="00000000" w:rsidRPr="00000000" w14:paraId="000000F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fins de habilitação, deverá o licitante comprovar os seguintes requisitos:</w:t>
      </w:r>
    </w:p>
    <w:p w:rsidR="00000000" w:rsidDel="00000000" w:rsidP="00000000" w:rsidRDefault="00000000" w:rsidRPr="00000000" w14:paraId="000000F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42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42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Habilitação jurídica</w:t>
      </w:r>
    </w:p>
    <w:p w:rsidR="00000000" w:rsidDel="00000000" w:rsidP="00000000" w:rsidRDefault="00000000" w:rsidRPr="00000000" w14:paraId="000000F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agtk2ly3vue"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Pessoa física: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cédula de identidade (RG) ou documento equivalente que, por força de lei, tenha validade para fins de identificação em todo o território nacional;</w:t>
      </w:r>
    </w:p>
    <w:p w:rsidR="00000000" w:rsidDel="00000000" w:rsidP="00000000" w:rsidRDefault="00000000" w:rsidRPr="00000000" w14:paraId="000000F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Empresário individual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inscrição no Registro Público de Empresas Mercantis, a cargo da Junta Comercial da respectiva sede; </w:t>
      </w:r>
    </w:p>
    <w:p w:rsidR="00000000" w:rsidDel="00000000" w:rsidP="00000000" w:rsidRDefault="00000000" w:rsidRPr="00000000" w14:paraId="000000F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Microempreendedor Individual - MEI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Certificado da Condição de Microempreendedor Individual - CCMEI, cuja aceitação ficará condicionada à verificação da autenticidade no sítio https://www.gov.br/empresas-e-negocios/pt-br/empreendedor;</w:t>
      </w:r>
    </w:p>
    <w:p w:rsidR="00000000" w:rsidDel="00000000" w:rsidP="00000000" w:rsidRDefault="00000000" w:rsidRPr="00000000" w14:paraId="000000F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Sociedade empresária, sociedade limitada unipessoal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00000" w:rsidDel="00000000" w:rsidP="00000000" w:rsidRDefault="00000000" w:rsidRPr="00000000" w14:paraId="000000F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Sociedade empresária estrangeira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00000" w:rsidDel="00000000" w:rsidP="00000000" w:rsidRDefault="00000000" w:rsidRPr="00000000" w14:paraId="000000F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Sociedade simples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inscrição do ato constitutivo no Registro Civil de Pessoas Jurídicas do local de sua sede, acompanhada de documento comprobatório de seus administradores;</w:t>
      </w:r>
    </w:p>
    <w:p w:rsidR="00000000" w:rsidDel="00000000" w:rsidP="00000000" w:rsidRDefault="00000000" w:rsidRPr="00000000" w14:paraId="000000F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1xoofcz9i12"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Filial, sucursal ou agência de sociedade simples ou empresária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00000" w:rsidDel="00000000" w:rsidP="00000000" w:rsidRDefault="00000000" w:rsidRPr="00000000" w14:paraId="000000F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“É vedada a participação de cooperativas em licitação  cujo objeto demande responsabilidade técnica por obra de engenharia, cuja execução pressupunha vínculo direto e pessoal dos profissionais habilitados com o executor contratado” Acórdão Nº 1.121/2006 – Plenário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documentos apresentados deverão estar acompanhados de todas as alterações ou da consolidação respectiva.</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42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Habilitação fiscal, social e trabalhista</w:t>
      </w:r>
    </w:p>
    <w:p w:rsidR="00000000" w:rsidDel="00000000" w:rsidP="00000000" w:rsidRDefault="00000000" w:rsidRPr="00000000" w14:paraId="000000F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Prova de inscrição no Cadastro Nacional de Pessoas Jurídicas ou no Cadastro de Pessoas Físicas, conforme o caso;</w:t>
      </w:r>
    </w:p>
    <w:p w:rsidR="00000000" w:rsidDel="00000000" w:rsidP="00000000" w:rsidRDefault="00000000" w:rsidRPr="00000000" w14:paraId="0000010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00000" w:rsidDel="00000000" w:rsidP="00000000" w:rsidRDefault="00000000" w:rsidRPr="00000000" w14:paraId="0000010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Prova de regularidade com o Fundo de Garantia do Tempo de Serviço (FGTS);</w:t>
      </w:r>
    </w:p>
    <w:p w:rsidR="00000000" w:rsidDel="00000000" w:rsidP="00000000" w:rsidRDefault="00000000" w:rsidRPr="00000000" w14:paraId="0000010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
        <w:r w:rsidDel="00000000" w:rsidR="00000000" w:rsidRPr="00000000">
          <w:rPr>
            <w:rFonts w:ascii="Arial" w:cs="Arial" w:eastAsia="Arial" w:hAnsi="Arial"/>
            <w:b w:val="0"/>
            <w:i w:val="0"/>
            <w:smallCaps w:val="0"/>
            <w:strike w:val="0"/>
            <w:color w:val="000080"/>
            <w:sz w:val="24"/>
            <w:szCs w:val="24"/>
            <w:u w:val="single"/>
            <w:shd w:fill="auto" w:val="clear"/>
            <w:vertAlign w:val="baseline"/>
            <w:rtl w:val="0"/>
          </w:rPr>
          <w:t xml:space="preserve">Decreto-Lei nº 5.452, de 1º de maio de 1943</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Prova de inscrição no cadastro de contribuintes Municipal relativo ao domicílio ou sede do fornecedor, pertinente ao seu ramo de atividade e compatível com o objeto contratual; </w:t>
      </w:r>
    </w:p>
    <w:p w:rsidR="00000000" w:rsidDel="00000000" w:rsidP="00000000" w:rsidRDefault="00000000" w:rsidRPr="00000000" w14:paraId="0000010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Prova de regularidade com a Fazenda Municipal do domicílio ou sede do fornecedor, relativa à atividade em cujo exercício contrata ou concorre;</w:t>
      </w:r>
    </w:p>
    <w:p w:rsidR="00000000" w:rsidDel="00000000" w:rsidP="00000000" w:rsidRDefault="00000000" w:rsidRPr="00000000" w14:paraId="0000010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10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fenndv4cm7ap"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0000" w:rsidDel="00000000" w:rsidP="00000000" w:rsidRDefault="00000000" w:rsidRPr="00000000" w14:paraId="0000010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10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Qualificação Econômico-Financeira</w:t>
      </w:r>
    </w:p>
    <w:p w:rsidR="00000000" w:rsidDel="00000000" w:rsidP="00000000" w:rsidRDefault="00000000" w:rsidRPr="00000000" w14:paraId="0000010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rsidR="00000000" w:rsidDel="00000000" w:rsidP="00000000" w:rsidRDefault="00000000" w:rsidRPr="00000000" w14:paraId="0000010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certidão negativa de falência expedida pelo distribuidor da sede do fornecedor - Lei nº 14.133, de 2021, art. 69,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inciso II);</w:t>
      </w:r>
    </w:p>
    <w:p w:rsidR="00000000" w:rsidDel="00000000" w:rsidP="00000000" w:rsidRDefault="00000000" w:rsidRPr="00000000" w14:paraId="0000010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Balanço patrimonial, demonstração de resultado de exercício e demais demonstrações contábeis dos 2 (dois) últimos exercícios sociais, comprovando:</w:t>
      </w:r>
    </w:p>
    <w:p w:rsidR="00000000" w:rsidDel="00000000" w:rsidP="00000000" w:rsidRDefault="00000000" w:rsidRPr="00000000" w14:paraId="0000010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índices de Liquidez Geral (LG), Liquidez Corrente (LC), e Solvência Geral (SG) superiores a 1 (um); </w:t>
      </w:r>
    </w:p>
    <w:p w:rsidR="00000000" w:rsidDel="00000000" w:rsidP="00000000" w:rsidRDefault="00000000" w:rsidRPr="00000000" w14:paraId="0000010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empresas criadas no exercício financeiro da licitação deverão atender a todas as exigências da habilitação e poderão substituir os demonstrativos contábeis pelo balanço de abertura; e</w:t>
      </w:r>
    </w:p>
    <w:p w:rsidR="00000000" w:rsidDel="00000000" w:rsidP="00000000" w:rsidRDefault="00000000" w:rsidRPr="00000000" w14:paraId="0000010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documentos referidos acima limitar-se-ão ao último exercício no caso de a pessoa jurídica ter sido constituída há menos de 2 (dois) anos. </w:t>
      </w:r>
    </w:p>
    <w:p w:rsidR="00000000" w:rsidDel="00000000" w:rsidP="00000000" w:rsidRDefault="00000000" w:rsidRPr="00000000" w14:paraId="0000010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documentos referidos acima deverão ser exigidos com base no limite definido pela Receita Federal do Brasil para transmissão da Escrituração Contábil Digital - ECD ao Sped.</w:t>
      </w:r>
    </w:p>
    <w:p w:rsidR="00000000" w:rsidDel="00000000" w:rsidP="00000000" w:rsidRDefault="00000000" w:rsidRPr="00000000" w14:paraId="0000011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Caso a empresa licitante apresente resultado inferior ou igual a 1 (um) em qualquer dos índices de Liquidez Geral (LG), Solvência Geral (SG) e Liquidez Corrente (LC), será exigido para fins de habilitação patrimônio líquido mínimo de até 10% do [valor total estimado da contratação.</w:t>
      </w:r>
    </w:p>
    <w:p w:rsidR="00000000" w:rsidDel="00000000" w:rsidP="00000000" w:rsidRDefault="00000000" w:rsidRPr="00000000" w14:paraId="0000011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o1k4ab6o3ry0"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empresas criadas no exercício financeiro da licitação deverão atender a todas as exigências da habilitação e poderão substituir os demonstrativos contábeis pelo balanço de abertura. (Lei nº 14.133, de 2021, art. 65, §1º).</w:t>
      </w:r>
    </w:p>
    <w:p w:rsidR="00000000" w:rsidDel="00000000" w:rsidP="00000000" w:rsidRDefault="00000000" w:rsidRPr="00000000" w14:paraId="0000011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atendimento dos índices econômicos previstos neste item deverá ser atestado mediante declaração assinada por profissional habilitado da área contábil, apresentada pelo fornecedor.</w:t>
      </w:r>
    </w:p>
    <w:p w:rsidR="00000000" w:rsidDel="00000000" w:rsidP="00000000" w:rsidRDefault="00000000" w:rsidRPr="00000000" w14:paraId="0000011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adoção de índices constitui instrumento relevante para a constatação da exequibilidade do objeto e não pode ser desconsiderada pela Administração, especialmente no tocante aos contratos de média e longa duração. Os índices estabelecidos atendem ao disposto no Art.69, da Lei 14.133/2021, pois permitem a comprovação da situação financeira da empresa de forma objetiva, através dos cálculos previstos e devidamente justificados, usualmente adotados para correta avaliação de situação financeira suficiente ao cumprimento das obrigações decorrentes da licitação, ao passo em que não frustram ou restringem o caráter competitivo do certame, eis que estabelecidos em patamares aceitáveis.</w:t>
      </w:r>
    </w:p>
    <w:p w:rsidR="00000000" w:rsidDel="00000000" w:rsidP="00000000" w:rsidRDefault="00000000" w:rsidRPr="00000000" w14:paraId="00000114">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115">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Qualificação Técnica</w:t>
      </w:r>
    </w:p>
    <w:p w:rsidR="00000000" w:rsidDel="00000000" w:rsidP="00000000" w:rsidRDefault="00000000" w:rsidRPr="00000000" w14:paraId="0000011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8xu6a04mgibm"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Declaração de que o licitante tomou conhecimento de todas as informações e das condições locais para o cumprimento das obrigações objeto da licitação;</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0" w:before="0" w:line="240" w:lineRule="auto"/>
        <w:ind w:left="992.1259842519685" w:right="0" w:firstLine="141.73228346456668"/>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u6freb3ytquw"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declaração acima poderá ser substituída por declaração formal assinada pelo responsável técnico do licitante acerca do conhecimento pleno das condições e peculiaridades da contratação.</w:t>
      </w:r>
    </w:p>
    <w:p w:rsidR="00000000" w:rsidDel="00000000" w:rsidP="00000000" w:rsidRDefault="00000000" w:rsidRPr="00000000" w14:paraId="0000011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Registro ou inscrição da empresa na entidade profissional competente, Conselho de Arquitetura e Urbanismo – CAU, ou Conselho Federal de Engenharia e Agronomia – CONFEA/ Conselho Regional de Engenharia e Agronomia - CREA</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 plena validade.</w:t>
      </w:r>
    </w:p>
    <w:p w:rsidR="00000000" w:rsidDel="00000000" w:rsidP="00000000" w:rsidRDefault="00000000" w:rsidRPr="00000000" w14:paraId="0000011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Sociedades empresárias estrangeiras atenderão à exigência por meio da apresentação, no momento da assinatura do contrato, da solicitação de registro perante a entidade profissional competente no Brasil.</w:t>
      </w:r>
    </w:p>
    <w:p w:rsidR="00000000" w:rsidDel="00000000" w:rsidP="00000000" w:rsidRDefault="00000000" w:rsidRPr="00000000" w14:paraId="0000011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licitante deverá apresentar:</w:t>
      </w:r>
    </w:p>
    <w:p w:rsidR="00000000" w:rsidDel="00000000" w:rsidP="00000000" w:rsidRDefault="00000000" w:rsidRPr="00000000" w14:paraId="0000011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Inscrição ou registro da licitante (pessoa jurídica) junto ao Conselho Regional de Engenharia e Agronomia – CREA e/ou Conselho de Arquitetura e Urbanismo – CAU competente da região a que estiver vinculada, que comprove atividade relacionada com o objeto;</w:t>
      </w:r>
    </w:p>
    <w:p w:rsidR="00000000" w:rsidDel="00000000" w:rsidP="00000000" w:rsidRDefault="00000000" w:rsidRPr="00000000" w14:paraId="0000011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Declaração de visita do local onde serão executadas as obras/serviços e fornecimentos, emitida pela própria licitante, nos termos do subitem do Projeto Básico, assinada pelo(s) o(s) Responsável(is) Técnico(s) ou Representante Legal;</w:t>
      </w:r>
    </w:p>
    <w:p w:rsidR="00000000" w:rsidDel="00000000" w:rsidP="00000000" w:rsidRDefault="00000000" w:rsidRPr="00000000" w14:paraId="0000011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ff0000"/>
          <w:sz w:val="24"/>
          <w:szCs w:val="24"/>
          <w:highlight w:val="white"/>
          <w:u w:val="none"/>
          <w:vertAlign w:val="baseline"/>
          <w:rtl w:val="0"/>
        </w:rPr>
        <w:t xml:space="preserve">Atestado(s) de capacidade técnica, em nome profissional de nível superior pertencente ao quadro técnico da empresa, devidamente comprovado, expedido por pessoas jurídicas de direito público ou privado, devidamente registrado no Conselho Regional de Engenharia e Agronomia – CREA e/ou Conselho de Arquitetura e Urbanismo – CAU, da região onde os serviços foram executados, acompanhado(s) da(s) respectiva(s) Certidão(ões) de Acervo Técnico – CAT, expedida(s) por estes Conselhos, que comprovem que a licitante tenha executado serviços em obras de Pavimentação, ou obras similares de porte e complexidade ao objeto desta licitação, executadas com técnicas construtivas semelhantes ou superiores às requeridas para execução dos itens de maior relevância, que levou em consideração os serviços contidos na planilha orçamentária,  para comprovação nas Certidão(ões) de Acervo Técnico CAT’s de 50%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dos quantitativos dos serviços de maior relevância</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26" w:firstLine="0"/>
        <w:jc w:val="both"/>
        <w:rPr>
          <w:rFonts w:ascii="Arial" w:cs="Arial" w:eastAsia="Arial" w:hAnsi="Arial"/>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9">
      <w:pPr>
        <w:ind w:right="-426"/>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2773"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0" w:before="0" w:line="240" w:lineRule="auto"/>
        <w:ind w:left="1133" w:right="-426"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ff0000"/>
          <w:sz w:val="24"/>
          <w:szCs w:val="24"/>
          <w:highlight w:val="white"/>
          <w:u w:val="none"/>
          <w:vertAlign w:val="baseline"/>
          <w:rtl w:val="0"/>
        </w:rPr>
        <w:t xml:space="preserve">Será admitido o somatório dos quantitativos dos serviços de maior relevância dos atestados para comprovar cada item. Os atestados poderão ser apresentados da seguinte maneira:</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854" w:right="0" w:hanging="360"/>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Um e/ou mais atestado(s) para cada item exigido;</w:t>
      </w:r>
    </w:p>
    <w:p w:rsidR="00000000" w:rsidDel="00000000" w:rsidP="00000000" w:rsidRDefault="00000000" w:rsidRPr="00000000" w14:paraId="0000012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854" w:right="0" w:hanging="360"/>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Ou atestado(s) que contenha(m) um ou mais itens exigidos.</w:t>
      </w:r>
    </w:p>
    <w:p w:rsidR="00000000" w:rsidDel="00000000" w:rsidP="00000000" w:rsidRDefault="00000000" w:rsidRPr="00000000" w14:paraId="0000012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Definem-se como obras de porte e complexidade similares àquelas que apresentam grandezas e características técnicas semelhantes às descritas nos Projetos Básicos, Memoriais Descritivos e Especificações Técnicas.</w:t>
      </w:r>
    </w:p>
    <w:p w:rsidR="00000000" w:rsidDel="00000000" w:rsidP="00000000" w:rsidRDefault="00000000" w:rsidRPr="00000000" w14:paraId="0000012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Definem-se como obras similares: Obras construtivamente afins às obras de Construção de </w:t>
      </w:r>
      <w:r w:rsidDel="00000000" w:rsidR="00000000" w:rsidRPr="00000000">
        <w:rPr>
          <w:rFonts w:ascii="Arial" w:cs="Arial" w:eastAsia="Arial" w:hAnsi="Arial"/>
          <w:color w:val="ff0000"/>
          <w:rtl w:val="0"/>
        </w:rPr>
        <w:t xml:space="preserve">H</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ospitais ou obras similares de porte e complexidade ao objeto desta licitação;</w:t>
      </w:r>
    </w:p>
    <w:p w:rsidR="00000000" w:rsidDel="00000000" w:rsidP="00000000" w:rsidRDefault="00000000" w:rsidRPr="00000000" w14:paraId="0000013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Deverá(ão) constar do(s) atestado(s) ou da(s) certidão(ões) expedida(s) pelo Conselho Regional de Engenharia e Agronomia – CREA e/ou Conselho de Arquitetura e Urbanismo – CAU, em destaque, os seguintes dados: local de execução, nome do contratante e da pessoa jurídica contratada, nome(s) do(s) responsável(is) técnicos(s), seu(s) título(s) profissional(is) e número(s) de registro(s) no Conselho Regional de Engenharia e Agronomia – CREA e/ou Conselho de Arquitetura e Urbanismo – CAU; descrição técnica sucinta indicando os serviços e quantitativos executados e o prazo final de execução;</w:t>
      </w:r>
    </w:p>
    <w:p w:rsidR="00000000" w:rsidDel="00000000" w:rsidP="00000000" w:rsidRDefault="00000000" w:rsidRPr="00000000" w14:paraId="0000013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Comprovação de que a licitante possui em seu quadro permanente, na data da entrega da proposta, profissional qualificado, detentor de atestado de responsabilidade técnica, e devidamente registrado no Conselho Regional de Engenharia e Agronomia – CREA e/ou Conselho de Arquitetura e Urbanismo – CAU, acompanhado da respectiva Certidão de Acervo Técnico – CAT, expedida por este Conselho, que comprove ter o profissional executado serviço relativo à de Construção ou Requalificação de Ho</w:t>
      </w:r>
      <w:r w:rsidDel="00000000" w:rsidR="00000000" w:rsidRPr="00000000">
        <w:rPr>
          <w:rFonts w:ascii="Arial" w:cs="Arial" w:eastAsia="Arial" w:hAnsi="Arial"/>
          <w:color w:val="ff0000"/>
          <w:rtl w:val="0"/>
        </w:rPr>
        <w:t xml:space="preserve">spitiais</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ou obras similares de porte e complexidade ao objeto desta licitação, conforme item 9.36.7;</w:t>
      </w:r>
    </w:p>
    <w:p w:rsidR="00000000" w:rsidDel="00000000" w:rsidP="00000000" w:rsidRDefault="00000000" w:rsidRPr="00000000" w14:paraId="0000013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Entende-se, para fins deste Projeto Básico, como pertencente ao quadro permanente: </w:t>
      </w:r>
    </w:p>
    <w:p w:rsidR="00000000" w:rsidDel="00000000" w:rsidP="00000000" w:rsidRDefault="00000000" w:rsidRPr="00000000" w14:paraId="000001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427" w:right="0" w:hanging="360"/>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o empregado; </w:t>
      </w:r>
    </w:p>
    <w:p w:rsidR="00000000" w:rsidDel="00000000" w:rsidP="00000000" w:rsidRDefault="00000000" w:rsidRPr="00000000" w14:paraId="000001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427" w:right="0" w:hanging="360"/>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o sócio; </w:t>
      </w:r>
    </w:p>
    <w:p w:rsidR="00000000" w:rsidDel="00000000" w:rsidP="00000000" w:rsidRDefault="00000000" w:rsidRPr="00000000" w14:paraId="000001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427" w:right="0" w:hanging="360"/>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o detentor de contrato de prestação de serviço.</w:t>
      </w:r>
    </w:p>
    <w:p w:rsidR="00000000" w:rsidDel="00000000" w:rsidP="00000000" w:rsidRDefault="00000000" w:rsidRPr="00000000" w14:paraId="0000013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w:t>
      </w:r>
    </w:p>
    <w:p w:rsidR="00000000" w:rsidDel="00000000" w:rsidP="00000000" w:rsidRDefault="00000000" w:rsidRPr="00000000" w14:paraId="0000013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Quando se tratar de dirigente ou sócio da licitante tal comprovação será através do ato constitutivo da mesma.</w:t>
      </w:r>
    </w:p>
    <w:p w:rsidR="00000000" w:rsidDel="00000000" w:rsidP="00000000" w:rsidRDefault="00000000" w:rsidRPr="00000000" w14:paraId="0000013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Quando se tratar de profissional mediante contrato de prestação de serviços, o mesmo deverá estar devidamente assinado pelo profissional e com firma reconhecida </w:t>
      </w:r>
      <w:r w:rsidDel="00000000" w:rsidR="00000000" w:rsidRPr="00000000">
        <w:rPr>
          <w:rFonts w:ascii="Arial" w:cs="Arial" w:eastAsia="Arial" w:hAnsi="Arial"/>
          <w:b w:val="0"/>
          <w:i w:val="0"/>
          <w:smallCaps w:val="0"/>
          <w:strike w:val="0"/>
          <w:color w:val="ff0000"/>
          <w:sz w:val="24"/>
          <w:szCs w:val="24"/>
          <w:highlight w:val="white"/>
          <w:u w:val="none"/>
          <w:vertAlign w:val="baseline"/>
          <w:rtl w:val="0"/>
        </w:rPr>
        <w:t xml:space="preserve">em cartório </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e constar no Registro ou inscrição da pessoa jurídica como responsável técnico.</w:t>
      </w:r>
    </w:p>
    <w:p w:rsidR="00000000" w:rsidDel="00000000" w:rsidP="00000000" w:rsidRDefault="00000000" w:rsidRPr="00000000" w14:paraId="0000013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ff0000"/>
          <w:sz w:val="24"/>
          <w:szCs w:val="24"/>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No caso de duas ou mais licitantes apresentarem atestados de um mesmo profissional como responsável técnico, como comprovação de qualificação técnica, ambas serão inabilitadas.</w:t>
      </w:r>
    </w:p>
    <w:p w:rsidR="00000000" w:rsidDel="00000000" w:rsidP="00000000" w:rsidRDefault="00000000" w:rsidRPr="00000000" w14:paraId="0000013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Quanto a exigência mínima para a comprovação: QUALIFICAÇÃO TÉCNICA OPERACIONAL e CAPACIDADE TÉCNICO PROFISSIONAL já especificadas e definidas nos documentos presentes nos autos, são critérios especificados por serem amplos e em quantitativos mínimos aceitáveis não representam LIMITAÇÃO a competição entre empresas, somente resguardam a Administração de obter alguma qualificação mínima para a execução da obra, obedecendo as regras dispostas na Lei n.º 14.133/2021 define o procedimento para comprovação de qualificação técnica, em seu artigo 67, tem-se que:</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42"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4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“Art. 67. A documentação relativa à qualificação técnico-profissional e técnico-operacional será restrita a: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4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 - Apresentação de profissional, devidamente registrado no conselho profissional competente, quando for o caso, detentor de atestado de responsabilidade técnica por execução de obra ou serviço de características semelhantes, para fins de contratação;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4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II - Certidões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 3º do art. 88 desta Lei;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4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III - indicação do pessoal técnico, das instalações e do aparelhamento adequados e disponíveis para a realização do objeto da licitação, bem como da qualificação de cada membro da equipe técnica que se responsabilizará pelos trabalhos;</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Será admitida, para fins de comprovação de quantitativo mínimo, a apresentação e o somatório de diferentes atestados executados de forma concomitante.</w:t>
      </w:r>
    </w:p>
    <w:p w:rsidR="00000000" w:rsidDel="00000000" w:rsidP="00000000" w:rsidRDefault="00000000" w:rsidRPr="00000000" w14:paraId="0000014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 atestados de capacidade técnica poderão ser apresentados em nome da matriz ou da filial da empresa licitante.</w:t>
      </w:r>
    </w:p>
    <w:p w:rsidR="00000000" w:rsidDel="00000000" w:rsidP="00000000" w:rsidRDefault="00000000" w:rsidRPr="00000000" w14:paraId="0000014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000000" w:rsidDel="00000000" w:rsidP="00000000" w:rsidRDefault="00000000" w:rsidRPr="00000000" w14:paraId="0000014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426" w:right="0" w:hanging="432.000000000000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Não será admitida a participação de cooperativas:</w:t>
      </w:r>
    </w:p>
    <w:p w:rsidR="00000000" w:rsidDel="00000000" w:rsidP="00000000" w:rsidRDefault="00000000" w:rsidRPr="00000000" w14:paraId="0000014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Considerando que o objeto da presente licitação refere-se à execução de projetos e obra de engenharia para a requalificação de Hospital, com todas as exigências técnicas, responsabilidades contratuais e garantias de execução  de contrato de obra pública, não será admitida a participação de sociedades cooperativas, nos termos do entendimento consolidado pelos tribunais de contas e pelo Judiciário.</w:t>
      </w:r>
    </w:p>
    <w:p w:rsidR="00000000" w:rsidDel="00000000" w:rsidP="00000000" w:rsidRDefault="00000000" w:rsidRPr="00000000" w14:paraId="0000014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modelo cooperativista, conforme previsto na Lei N. 5.764/71, tem finalidade principal a prestação de serviços aos seus próprios cooperados, não sendo vocacionado, por sua natureza jurídica e regime de funcionamento, para assumir obrigações contratuais típicas de empreitada de obras públicas, que exigem capacidade técnica, responsabilidade civil objetiva e garantias de execução. Além disso, a contratação de cooperativas em certames dessa natureza pode configurar terceirização irregular de mão de obra, além de violar os princípios da isonomia e da competitividade.</w:t>
      </w:r>
    </w:p>
    <w:p w:rsidR="00000000" w:rsidDel="00000000" w:rsidP="00000000" w:rsidRDefault="00000000" w:rsidRPr="00000000" w14:paraId="0000014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hanging="78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Diante desse contexto, e em consonância com o princípio da legalidade e da </w:t>
      </w:r>
      <w:r w:rsidDel="00000000" w:rsidR="00000000" w:rsidRPr="00000000">
        <w:rPr>
          <w:rFonts w:ascii="Arial" w:cs="Arial" w:eastAsia="Arial" w:hAnsi="Arial"/>
          <w:rtl w:val="0"/>
        </w:rPr>
        <w:t xml:space="preserv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eleção da proposta mais vantajosa para Administração, a participação de cooperativas não será permitida no presente certame, por se tratar de contratação de natureza técnica especializada, que exige a assunção de riscos, responsabilidades técnicas e garantias contratuais não compatíveis com a natureza jurídica e operacional dessas entidades.</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 qualificação da Subcontratação</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9.40 O interessado que pretenda subcontratar parte da execução da obra deverá apresentar, antes da formalização do contrato ou no momento da sua indicação durante a execução, os seguintes documentos relativos </w:t>
      </w:r>
      <w:r w:rsidDel="00000000" w:rsidR="00000000" w:rsidRPr="00000000">
        <w:rPr>
          <w:rFonts w:ascii="Arial" w:cs="Arial" w:eastAsia="Arial" w:hAnsi="Arial"/>
          <w:rtl w:val="0"/>
        </w:rPr>
        <w:t xml:space="preserve">à empresa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subcontratada, compatíveis com o objeto da subcontratação:</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Habilitação jurídica, conforme art. 67 da Lei nº 14.133/2021;</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Regularidade fiscal e trabalhista, nos termos dos arts. 69 à 71 da Lei nº 14.133/2021;</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Qualificação técnica, conforme art. 74 da Lei nº 14.133/2021, compatível com parcela a ser subcontratada;</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Qualificação econômico-financeira, quando aplicável, nos termos do art. 75 da Lei nº 14.133/2021.</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Comprovação do cumprimento do disposto no inciso XXXIII do art, 7º da Constituição Federal, quanto à vedação ao trabalho noturno, perigoso e insalubre a menores de dezoito e de qualquer trabalho a menores de dezesseis anos, salvo na condição de aprendiz, a partir dos quatorze anos.</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9.41 A não apresentação da documentação exigida para habilitação ensejará </w:t>
      </w:r>
      <w:r w:rsidDel="00000000" w:rsidR="00000000" w:rsidRPr="00000000">
        <w:rPr>
          <w:rFonts w:ascii="Arial" w:cs="Arial" w:eastAsia="Arial" w:hAnsi="Arial"/>
          <w:rtl w:val="0"/>
        </w:rPr>
        <w:t xml:space="preserve">a inabilitação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 participante;</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 apresentação de documentos com prazo de validade vencido, na data fixada para apresentação da proposta de subcontratação;</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A substituição de documentos exigidos para habilitação por protocolos de requerimento de certidão;</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 apresentação d e documentos que contenham informações inverídicas;</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A mesclagem de documentos de regularidade fiscal, social e trabalhista de estabelecimentos diversos, exceto a prova de regularidade para com a Fazenda Federal conjunta com a Seguridade Social, para com o FGTS e para com a Justiça do trabalho;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O não cumprimento dos requisitos de habilitação.</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9.41.1 O não atendimento às diligências, quando solicitadas, dentro do prazo estabelecido.</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ESTIMATIVAS DO VALOR DA CONTRATAÇÃO</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75" w:right="0" w:hanging="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 custo estimado total da contratação é d</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 </w:t>
      </w:r>
      <w:r w:rsidDel="00000000" w:rsidR="00000000" w:rsidRPr="00000000">
        <w:rPr>
          <w:rFonts w:ascii="Arial" w:cs="Arial" w:eastAsia="Arial" w:hAnsi="Arial"/>
          <w:highlight w:val="white"/>
          <w:rtl w:val="0"/>
        </w:rPr>
        <w:t xml:space="preserve">5.565.248,50 (cinco milhões, quinhentos e sessenta e cinco, duzentos e quarenta e oito reais e cinquenta centavos)</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conforme custos unitários apostos no Anexo I</w:t>
      </w:r>
      <w:r w:rsidDel="00000000" w:rsidR="00000000" w:rsidRPr="00000000">
        <w:rPr>
          <w:rFonts w:ascii="Arial" w:cs="Arial" w:eastAsia="Arial" w:hAnsi="Arial"/>
          <w:color w:val="ff0000"/>
          <w:rtl w:val="0"/>
        </w:rPr>
        <w:t xml:space="preserve">.</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75" w:right="0" w:firstLine="0"/>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75" w:right="0" w:hanging="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estimativa de custo levou em consideração o risco envolvido na contratação e sua alocação entre contratante e contratado, conforme especificado na matriz de risco constante do Contrato.</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DAS OBRIGAÇÕES:</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11.1Da contratada</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11.1.1 A contratada deve cumprir todas as obrigações do Termo de Referência e sua proposta de preços, assumindo como exclusivamente seus os riscos e as despesas decorrentes da boa e perfeita execução do objeto e ainda:</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11.1.2 Executar </w:t>
      </w:r>
      <w:r w:rsidDel="00000000" w:rsidR="00000000" w:rsidRPr="00000000">
        <w:rPr>
          <w:rFonts w:ascii="Arial" w:cs="Arial" w:eastAsia="Arial" w:hAnsi="Arial"/>
          <w:rtl w:val="0"/>
        </w:rPr>
        <w:t xml:space="preserve">adequadamente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os serviços descritos na </w:t>
      </w:r>
      <w:r w:rsidDel="00000000" w:rsidR="00000000" w:rsidRPr="00000000">
        <w:rPr>
          <w:rFonts w:ascii="Arial" w:cs="Arial" w:eastAsia="Arial" w:hAnsi="Arial"/>
          <w:rtl w:val="0"/>
        </w:rPr>
        <w:t xml:space="preserve">Cláusula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correspondentes do presente contrato, dentro dos melhores parâmetros de qualidade estabelecidos para o ramos das atividades relacionada ao objeto contratual, com observância </w:t>
      </w:r>
      <w:r w:rsidDel="00000000" w:rsidR="00000000" w:rsidRPr="00000000">
        <w:rPr>
          <w:rFonts w:ascii="Arial" w:cs="Arial" w:eastAsia="Arial" w:hAnsi="Arial"/>
          <w:rtl w:val="0"/>
        </w:rPr>
        <w:t xml:space="preserve">aos prazos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estipulados;</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11.1.3 Efetuar a execução do objeto em perfeitas condições, conforme especificações, prazo e local constantes no Termo de Referência e sua proposta, acompanhado da respectiva nota fiscal, na qual constarão as indicações referentes a marca;</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11.1.4 Responsabilizar-se pelos danos e vícios decorrentes do objeto, de acordo com os artigos 12,13 e 17 a 27 do  Código de Defesa do Consumidor;</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11.1.5 Substituir, reparar ou corrigir às suas expensas, no prazo fixado no presente Termos de Referência, o objeto </w:t>
      </w:r>
      <w:r w:rsidDel="00000000" w:rsidR="00000000" w:rsidRPr="00000000">
        <w:rPr>
          <w:rFonts w:ascii="Arial" w:cs="Arial" w:eastAsia="Arial" w:hAnsi="Arial"/>
          <w:rtl w:val="0"/>
        </w:rPr>
        <w:t xml:space="preserve">com avarias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ou defeitos;</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11.1.6 Comunicar à Contratante, no prazo máximo de 72 (setenta e duas) horas que antecede a data a execução, os motivos que impossibilitem o cumprimento do prazo previsto, com devida comprovação;</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11.1.7 Manter, durante toda a execução do contrato, em compatibilidade com as obrigações assumidas, todas as condições de habilitação e qualificação exigidas na licitação;</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11.1.8 Indicar preposto para representá-la durante a execução do contrato;</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11.1.9 Executar todas as obrigações assumidas com a observância a melhor técnica vigente, enquadrando se rigorosamente, dentro dos preceitos legais, normas e especificações técnicas correspondentes;</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11.1.10 Arcar com todas as despesas decorrentes da contratação, inclusive materiais de consumo, equipamentos utilizados </w:t>
      </w:r>
      <w:r w:rsidDel="00000000" w:rsidR="00000000" w:rsidRPr="00000000">
        <w:rPr>
          <w:rFonts w:ascii="Arial" w:cs="Arial" w:eastAsia="Arial" w:hAnsi="Arial"/>
          <w:rtl w:val="0"/>
        </w:rPr>
        <w:t xml:space="preserve">para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prestação de serviços, bem como as despesas </w:t>
      </w:r>
      <w:r w:rsidDel="00000000" w:rsidR="00000000" w:rsidRPr="00000000">
        <w:rPr>
          <w:rFonts w:ascii="Arial" w:cs="Arial" w:eastAsia="Arial" w:hAnsi="Arial"/>
          <w:rtl w:val="0"/>
        </w:rPr>
        <w:t xml:space="preserve">com insumos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materiais, transporte, deslocamento e mão de obra, encargos trabalhistas, previdenciários e tributários decorrentes da execução do contrato, cabendo-lhe ainda a inteira responsabilidade (civil e penal), por quaisquer danos a terceiros, provenientes de negligência resultante da prestação de serviço,</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 Da Contratante:</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11.2.1 Receber o objeto no prazo e condições estabelecidas no contrato;</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11.2.2 Verificar minuciosamente, no prazo fixado, a conformidade dos bens recebidos provisoriamente com as especificações constantes no contrato e da proposta, para fins de aceitação e recebimento definitivo;</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11.2.3 Comunicar à Contratada, por escrito, sobre imperfeições, falhas ou irregularidades verificadas no objeto fornecido, para que seja substituído, reparado ou corrigido;</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11.2.4 Acompanhar e fiscalizar o cumprimento das obrigações da Contratada, através de comissão/servidor especialmente designado;</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11.2.5 Efetuar pagamento à contratada no valor correspondente ao fornecimento do objeto, no prazo e forma estabelecidos no Edital e seus anexos;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11.2.6 A Administração não responderá por quaisquer compromissos assumidos pela contratada com terceiros, ainda que vinculados à execução do Termo do Contrato, bem como por qualquer dano causado a terceiros em decorrência de ato da Contratada, de seus empregados, prepostos e subordinados;</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11.2.7 O direito de paralisar ou suspender a qualquer momento a execução do contrato, caso haja qualquer infringência das normas legais ou procedimentos aplicados.</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DAS PENALIDADES ADMINISTRATIVAS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Comete infração administrativa, nos termos do art. 155 da Lei nº 14.133/2021, o Contratado que:</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der causa à inexecução parcial do contrato;</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 der causa à inexecução parcial do contrato que cause grave dano à Administração ao funcionamento dos serviços público ou interesse coletivo;</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c) Der causa à inexecução total do contrato;</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d) Deixar de entregar a documentação exigida para o certame;</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e) Não celebrar o contrato ou não entregar a documentação exigida para a contratação, quando convocada dentro do prazo de validade da sua proposta;</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f) Ensejar o retardamento da execução da entrega do objeto da contratação sem motivo justificado;</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g) Apresentar declaração ou documentação falsa exigida para o certame ou prestar declaração falsa durante a dispensa eletrônica ou execução do contrato;</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h) Fraudar a contratação ou praticar ato fraudulento na execução do contrato;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i) Comportar-se de modo inidôneo ou cometer fraude de qualquer natureza;</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j) Praticar atos ilícitos com vistas a frustrar os objetivos da contratação;</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ab/>
        <w:t xml:space="preserve">k) Praticar ato lesivo previsto no art. 5 da Lei 1246 de 1 de agosto de 2013.</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12.2 Serão aplicadas ao responsáveis pelas infrações administrativas acima descritas as seguintes sanções:</w:t>
      </w:r>
    </w:p>
    <w:p w:rsidR="00000000" w:rsidDel="00000000" w:rsidP="00000000" w:rsidRDefault="00000000" w:rsidRPr="00000000" w14:paraId="000001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Advertência, quando o contratado a causa a execução parcial do contrato, sempre que não se justificar a imposição de penalidade mais grave (art. 156, Parágrafo 2 da Lei);</w:t>
      </w: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Impedimento de licitar e contratar, quando praticadas as condutas descritas nas alínea B, C, D, e F e G do subtítulo acima do termo que sempre não se justificar a imposição de penalidade mais grave (art. 156, Parágrafo 4 da Lei); Impedido o responsável de licitar ou contratar com o município pelo prazo máximo de três anos;</w:t>
      </w: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Declaração de idoneidade para licitar e contratar quando praticadas as condutas descritas nas alínea B,C,F,E,Fe,G, que justifiquem a imposição de penalidade mais grave que a sanção referida no Parágrafo 4 (art.156 da Lei); Impedido o responsável de licitar ou contratar com o município pelo prazo mínimo de três anos e máximo de seis anos;</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Multa:</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moratória de 0,5% por dia de atraso na execução do contrato, tomando por base o valor do contrato;</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multa de 2% a partir do 16º dia  até o 30º dia de atraso;</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compensatória de 10% sobre o valor total do contrato, caso de inexecução total do objeto.</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12.3 A aplicação das sanções previstas no termo não exclui, em hipótese alguma, a obrigação de reparação integral do dano causado à contratante;</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 Todas as sanções previstas no termo poderão ser aplicadas cumulativamente com multa;</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12.4.1 Antes da aplicação da multa será facultada a defesa do interessado no prazo de 15 dias úteis, contado da data da sua intimação;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12.4.2 Se a multa aplicada e as indenizações cabíveis forem superiores ao valor do pagamento eventualmente devido pela contratante ao contratado, além da perda desse valor, a diferença será descontado da garantia prestada ou será cobrada judicialmente;</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12.4.3 Previamente ao encaminhamento a cobrança judicial, a multa poderá ser recolhida administrativamente no prazo máximo de 30 dias, a conta da data de recebimento da comunicação enviada pela autoridade competente;</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12.4.4 A aplicação das sanções realizar-se-á em processo administrativo que assegura o contraditório e a ampla defesa contratado, observando-se o procedimento previsto no capô e nos parágrafo do art. 158 da Lei Nº 14133, de 2021, para as penalidades de impedimento de licitar e contratar de declaração de idoneidade para licitar ou contratar;</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12.4.5 Na aplicação das sanções serão consideradas ( art.156, Paragrafo 1º):</w:t>
      </w:r>
    </w:p>
    <w:p w:rsidR="00000000" w:rsidDel="00000000" w:rsidP="00000000" w:rsidRDefault="00000000" w:rsidRPr="00000000" w14:paraId="0000019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natureza e a gravidade da infração cometida;</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as peculiaridades do caso concreto;</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as circunstâncias agravantes ou atenuantes;</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os danos dela que provieram para a contratante;</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u w:val="none"/>
        </w:rPr>
      </w:pPr>
      <w:r w:rsidDel="00000000" w:rsidR="00000000" w:rsidRPr="00000000">
        <w:rPr>
          <w:rFonts w:ascii="Arial" w:cs="Arial" w:eastAsia="Arial" w:hAnsi="Arial"/>
          <w:rtl w:val="0"/>
        </w:rPr>
        <w:t xml:space="preserve">a implantação ou aperfeiçoamento de programa de integridade, conforme normas e orientações dos órgãos de controle.</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12.4.6 Os atos previstos como infrações administrativas na Lei Nº 14133, de 2021, ou em outras leis de licitações e contratos da Administração Pública que também sejam tipificados como ato lesivos na Lei Nº 12846, de 2013, serão apurados e julgados conjuntamente, nos mesmos autos,observando o rito procedimental e a autoridade competente definidos na referida lei;</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12.4.7 A personalidade jurídica do contrato poderá ser desconsiderada sempre que utilizada com abuso do direito para facilitar, encobrir ou disseminar a prática dos atos ilícitos previstos no contrato ou provocar confusão patrimonial, e nesse caso, todos os efeitos da sanções aplicadas à pessoa jurídica serão estendidos a seus administradores e sócios com poderes de administração, à pessoa jurídica sucessora ou à empresa do mesmo ramo com relação de coligação ou controle,de fato ou de direito, com o contratado, observados, em todos os casos, o contraditório, a ampla defesa e a obrigatoriedade de análise jurídica prévia;</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12.4.8 A contratante deverá, no prazo máximo 15 dias úteis, contado a partir da aplicação da sanção, informar e manter atualizados os dados relativos à sanções por ela aplicadas, para fins de publicidade no Cadastro Nacional de empresas inidôneas e suspensas (Ceis) e no Cadastro Nacional de empresas punidas (Cnep) Instituídos no âmbito do poder executivo federal;</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12.4.9 As sanções de impedimento de licitar e contratar e declaração de idoneidade para licitar ao contratar são passíveis de reabilitação na forma do art. 163 da Lei Nº 14133/21.</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9A">
      <w:pPr>
        <w:keepNext w:val="1"/>
        <w:keepLines w:val="1"/>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ADEQUAÇÃO ORÇAMENTÁRIA</w:t>
      </w: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despesas decorrentes da presente contratação correrão à conta de recursos específicos consignados no Orçamento Geral da União e do Município.</w:t>
      </w:r>
    </w:p>
    <w:p w:rsidR="00000000" w:rsidDel="00000000" w:rsidP="00000000" w:rsidRDefault="00000000" w:rsidRPr="00000000" w14:paraId="0000019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contratação será atendida pela seguinte dotação:</w:t>
      </w:r>
    </w:p>
    <w:p w:rsidR="00000000" w:rsidDel="00000000" w:rsidP="00000000" w:rsidRDefault="00000000" w:rsidRPr="00000000" w14:paraId="0000019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142" w:right="0" w:firstLine="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Gestão/Unidade: 23 Secretaria Municipal de Saúde, 2301 Fundo Municipal de Saúde</w:t>
      </w:r>
    </w:p>
    <w:p w:rsidR="00000000" w:rsidDel="00000000" w:rsidP="00000000" w:rsidRDefault="00000000" w:rsidRPr="00000000" w14:paraId="0000019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142" w:right="0" w:firstLine="2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Fonte de Recursos: 1.500.0000.1002 e 1.600.0000.0000</w:t>
      </w:r>
    </w:p>
    <w:p w:rsidR="00000000" w:rsidDel="00000000" w:rsidP="00000000" w:rsidRDefault="00000000" w:rsidRPr="00000000" w14:paraId="0000019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125" w:right="0" w:firstLine="28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Programa de Trabalho: 10.302.0012.1021 -MELHORIA E EXPANSÃO DO HOSPITAL MUNICIPAL</w:t>
      </w:r>
    </w:p>
    <w:p w:rsidR="00000000" w:rsidDel="00000000" w:rsidP="00000000" w:rsidRDefault="00000000" w:rsidRPr="00000000" w14:paraId="000001A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125" w:right="0" w:firstLine="28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Elemento de Despesa: 44905100 - Obras e Instalações</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1"/>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dotação relativa aos exercícios financeiros subseqüentes será indicada após aprovação da Lei Orçamentária respectiva e liberação dos créditos correspondentes, mediante apostilamento.</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Atenciosamente,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right"/>
        <w:rPr>
          <w:rFonts w:ascii="Arial" w:cs="Arial" w:eastAsia="Arial" w:hAnsi="Arial"/>
        </w:rPr>
      </w:pPr>
      <w:r w:rsidDel="00000000" w:rsidR="00000000" w:rsidRPr="00000000">
        <w:rPr>
          <w:rFonts w:ascii="Arial" w:cs="Arial" w:eastAsia="Arial" w:hAnsi="Arial"/>
          <w:rtl w:val="0"/>
        </w:rPr>
        <w:t xml:space="preserve">Lauro de Freitas/Ba, 02 de setembro de 2025</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Antônio José Ribeiro Martinez - Matrícula: 124973</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Técnico Responsável - Engenheiro Civil</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Departamento de Manutenção e Engenharia</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Autorizo dar início ao processo administrativo de licitação.</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Encaminhe-se ao Setor competente para providências imediatas.</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Cumpra-se, dando ciência.</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Elba Brito Garcez</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8" w:firstLine="0"/>
        <w:jc w:val="center"/>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Secretária interina Municipal de Saúde</w:t>
      </w:r>
      <w:r w:rsidDel="00000000" w:rsidR="00000000" w:rsidRPr="00000000">
        <w:rPr>
          <w:rtl w:val="0"/>
        </w:rPr>
      </w:r>
    </w:p>
    <w:sectPr>
      <w:headerReference r:id="rId11" w:type="default"/>
      <w:footerReference r:id="rId12" w:type="default"/>
      <w:pgSz w:h="16838" w:w="11906" w:orient="portrait"/>
      <w:pgMar w:bottom="1418" w:top="1418" w:left="1134" w:right="1134" w:header="142"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ourier New"/>
  <w:font w:name="Ecofont_Spranq_eco_Sans"/>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414.00000000000006"/>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414.00000000000006"/>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ESTADO DA BAHIA</w:t>
    </w:r>
    <w:r w:rsidDel="00000000" w:rsidR="00000000" w:rsidRPr="00000000">
      <w:drawing>
        <wp:anchor allowOverlap="1" behindDoc="0" distB="0" distT="0" distL="114300" distR="114300" hidden="0" layoutInCell="1" locked="0" relativeHeight="0" simplePos="0">
          <wp:simplePos x="0" y="0"/>
          <wp:positionH relativeFrom="column">
            <wp:posOffset>-25176</wp:posOffset>
          </wp:positionH>
          <wp:positionV relativeFrom="paragraph">
            <wp:posOffset>5245</wp:posOffset>
          </wp:positionV>
          <wp:extent cx="567441" cy="548640"/>
          <wp:effectExtent b="0" l="0" r="0" t="0"/>
          <wp:wrapNone/>
          <wp:docPr id="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67441" cy="548640"/>
                  </a:xfrm>
                  <a:prstGeom prst="rect"/>
                  <a:ln/>
                </pic:spPr>
              </pic:pic>
            </a:graphicData>
          </a:graphic>
        </wp:anchor>
      </w:drawing>
    </w:r>
  </w:p>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414.00000000000006"/>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PREFEITURA DE LAURO DE FREITAS</w:t>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414.00000000000006"/>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SECRETARIA DE SAÚDE</w:t>
    </w:r>
  </w:p>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414.00000000000006"/>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Avenida Luís Tarquínio, 600 - Centro, Lauro de Freitas – Bahia -CEP: 42700-000</w:t>
    </w:r>
  </w:p>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7"/>
      <w:numFmt w:val="decimal"/>
      <w:lvlText w:val="%1"/>
      <w:lvlJc w:val="left"/>
      <w:pPr>
        <w:ind w:left="465" w:hanging="465"/>
      </w:pPr>
      <w:rPr/>
    </w:lvl>
    <w:lvl w:ilvl="1">
      <w:start w:val="10"/>
      <w:numFmt w:val="decimal"/>
      <w:lvlText w:val="%1.%2"/>
      <w:lvlJc w:val="left"/>
      <w:pPr>
        <w:ind w:left="465" w:hanging="465"/>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0"/>
      <w:numFmt w:val="decimal"/>
      <w:lvlText w:val="%1"/>
      <w:lvlJc w:val="left"/>
      <w:pPr>
        <w:ind w:left="375" w:hanging="375"/>
      </w:pPr>
      <w:rPr/>
    </w:lvl>
    <w:lvl w:ilvl="1">
      <w:start w:val="1"/>
      <w:numFmt w:val="decimal"/>
      <w:lvlText w:val="%1.%2"/>
      <w:lvlJc w:val="left"/>
      <w:pPr>
        <w:ind w:left="375" w:hanging="375"/>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5">
    <w:lvl w:ilvl="0">
      <w:start w:val="8"/>
      <w:numFmt w:val="decimal"/>
      <w:lvlText w:val="%1"/>
      <w:lvlJc w:val="left"/>
      <w:pPr>
        <w:ind w:left="525" w:hanging="525"/>
      </w:pPr>
      <w:rPr>
        <w:color w:val="000000"/>
      </w:rPr>
    </w:lvl>
    <w:lvl w:ilvl="1">
      <w:start w:val="4"/>
      <w:numFmt w:val="decimal"/>
      <w:lvlText w:val="%1.%2"/>
      <w:lvlJc w:val="left"/>
      <w:pPr>
        <w:ind w:left="808" w:hanging="525"/>
      </w:pPr>
      <w:rPr>
        <w:color w:val="000000"/>
      </w:rPr>
    </w:lvl>
    <w:lvl w:ilvl="2">
      <w:start w:val="1"/>
      <w:numFmt w:val="decimal"/>
      <w:lvlText w:val="%1.%2.%3"/>
      <w:lvlJc w:val="left"/>
      <w:pPr>
        <w:ind w:left="1286" w:hanging="720"/>
      </w:pPr>
      <w:rPr>
        <w:color w:val="000000"/>
      </w:rPr>
    </w:lvl>
    <w:lvl w:ilvl="3">
      <w:start w:val="1"/>
      <w:numFmt w:val="decimal"/>
      <w:lvlText w:val="%1.%2.%3.%4"/>
      <w:lvlJc w:val="left"/>
      <w:pPr>
        <w:ind w:left="1929" w:hanging="1080"/>
      </w:pPr>
      <w:rPr>
        <w:color w:val="000000"/>
      </w:rPr>
    </w:lvl>
    <w:lvl w:ilvl="4">
      <w:start w:val="1"/>
      <w:numFmt w:val="decimal"/>
      <w:lvlText w:val="%1.%2.%3.%4.%5"/>
      <w:lvlJc w:val="left"/>
      <w:pPr>
        <w:ind w:left="2212" w:hanging="1080"/>
      </w:pPr>
      <w:rPr>
        <w:color w:val="000000"/>
      </w:rPr>
    </w:lvl>
    <w:lvl w:ilvl="5">
      <w:start w:val="1"/>
      <w:numFmt w:val="decimal"/>
      <w:lvlText w:val="%1.%2.%3.%4.%5.%6"/>
      <w:lvlJc w:val="left"/>
      <w:pPr>
        <w:ind w:left="2855" w:hanging="1440"/>
      </w:pPr>
      <w:rPr>
        <w:color w:val="000000"/>
      </w:rPr>
    </w:lvl>
    <w:lvl w:ilvl="6">
      <w:start w:val="1"/>
      <w:numFmt w:val="decimal"/>
      <w:lvlText w:val="%1.%2.%3.%4.%5.%6.%7"/>
      <w:lvlJc w:val="left"/>
      <w:pPr>
        <w:ind w:left="3138" w:hanging="1440"/>
      </w:pPr>
      <w:rPr>
        <w:color w:val="000000"/>
      </w:rPr>
    </w:lvl>
    <w:lvl w:ilvl="7">
      <w:start w:val="1"/>
      <w:numFmt w:val="decimal"/>
      <w:lvlText w:val="%1.%2.%3.%4.%5.%6.%7.%8"/>
      <w:lvlJc w:val="left"/>
      <w:pPr>
        <w:ind w:left="3781" w:hanging="1799.9999999999995"/>
      </w:pPr>
      <w:rPr>
        <w:color w:val="000000"/>
      </w:rPr>
    </w:lvl>
    <w:lvl w:ilvl="8">
      <w:start w:val="1"/>
      <w:numFmt w:val="decimal"/>
      <w:lvlText w:val="%1.%2.%3.%4.%5.%6.%7.%8.%9"/>
      <w:lvlJc w:val="left"/>
      <w:pPr>
        <w:ind w:left="4064" w:hanging="1800"/>
      </w:pPr>
      <w:rPr>
        <w:color w:val="000000"/>
      </w:rPr>
    </w:lvl>
  </w:abstractNum>
  <w:abstractNum w:abstractNumId="6">
    <w:lvl w:ilvl="0">
      <w:start w:val="1"/>
      <w:numFmt w:val="bullet"/>
      <w:lvlText w:val="✔"/>
      <w:lvlJc w:val="left"/>
      <w:pPr>
        <w:ind w:left="1427" w:hanging="360"/>
      </w:pPr>
      <w:rPr>
        <w:rFonts w:ascii="Noto Sans Symbols" w:cs="Noto Sans Symbols" w:eastAsia="Noto Sans Symbols" w:hAnsi="Noto Sans Symbols"/>
      </w:rPr>
    </w:lvl>
    <w:lvl w:ilvl="1">
      <w:start w:val="1"/>
      <w:numFmt w:val="bullet"/>
      <w:lvlText w:val="o"/>
      <w:lvlJc w:val="left"/>
      <w:pPr>
        <w:ind w:left="2147" w:hanging="360"/>
      </w:pPr>
      <w:rPr>
        <w:rFonts w:ascii="Courier New" w:cs="Courier New" w:eastAsia="Courier New" w:hAnsi="Courier New"/>
      </w:rPr>
    </w:lvl>
    <w:lvl w:ilvl="2">
      <w:start w:val="1"/>
      <w:numFmt w:val="bullet"/>
      <w:lvlText w:val="▪"/>
      <w:lvlJc w:val="left"/>
      <w:pPr>
        <w:ind w:left="2867" w:hanging="360"/>
      </w:pPr>
      <w:rPr>
        <w:rFonts w:ascii="Noto Sans Symbols" w:cs="Noto Sans Symbols" w:eastAsia="Noto Sans Symbols" w:hAnsi="Noto Sans Symbols"/>
      </w:rPr>
    </w:lvl>
    <w:lvl w:ilvl="3">
      <w:start w:val="1"/>
      <w:numFmt w:val="bullet"/>
      <w:lvlText w:val="●"/>
      <w:lvlJc w:val="left"/>
      <w:pPr>
        <w:ind w:left="3587" w:hanging="360"/>
      </w:pPr>
      <w:rPr>
        <w:rFonts w:ascii="Noto Sans Symbols" w:cs="Noto Sans Symbols" w:eastAsia="Noto Sans Symbols" w:hAnsi="Noto Sans Symbols"/>
      </w:rPr>
    </w:lvl>
    <w:lvl w:ilvl="4">
      <w:start w:val="1"/>
      <w:numFmt w:val="bullet"/>
      <w:lvlText w:val="o"/>
      <w:lvlJc w:val="left"/>
      <w:pPr>
        <w:ind w:left="4307" w:hanging="360"/>
      </w:pPr>
      <w:rPr>
        <w:rFonts w:ascii="Courier New" w:cs="Courier New" w:eastAsia="Courier New" w:hAnsi="Courier New"/>
      </w:rPr>
    </w:lvl>
    <w:lvl w:ilvl="5">
      <w:start w:val="1"/>
      <w:numFmt w:val="bullet"/>
      <w:lvlText w:val="▪"/>
      <w:lvlJc w:val="left"/>
      <w:pPr>
        <w:ind w:left="5027" w:hanging="360"/>
      </w:pPr>
      <w:rPr>
        <w:rFonts w:ascii="Noto Sans Symbols" w:cs="Noto Sans Symbols" w:eastAsia="Noto Sans Symbols" w:hAnsi="Noto Sans Symbols"/>
      </w:rPr>
    </w:lvl>
    <w:lvl w:ilvl="6">
      <w:start w:val="1"/>
      <w:numFmt w:val="bullet"/>
      <w:lvlText w:val="●"/>
      <w:lvlJc w:val="left"/>
      <w:pPr>
        <w:ind w:left="5747" w:hanging="360"/>
      </w:pPr>
      <w:rPr>
        <w:rFonts w:ascii="Noto Sans Symbols" w:cs="Noto Sans Symbols" w:eastAsia="Noto Sans Symbols" w:hAnsi="Noto Sans Symbols"/>
      </w:rPr>
    </w:lvl>
    <w:lvl w:ilvl="7">
      <w:start w:val="1"/>
      <w:numFmt w:val="bullet"/>
      <w:lvlText w:val="o"/>
      <w:lvlJc w:val="left"/>
      <w:pPr>
        <w:ind w:left="6467" w:hanging="360"/>
      </w:pPr>
      <w:rPr>
        <w:rFonts w:ascii="Courier New" w:cs="Courier New" w:eastAsia="Courier New" w:hAnsi="Courier New"/>
      </w:rPr>
    </w:lvl>
    <w:lvl w:ilvl="8">
      <w:start w:val="1"/>
      <w:numFmt w:val="bullet"/>
      <w:lvlText w:val="▪"/>
      <w:lvlJc w:val="left"/>
      <w:pPr>
        <w:ind w:left="7187" w:hanging="360"/>
      </w:pPr>
      <w:rPr>
        <w:rFonts w:ascii="Noto Sans Symbols" w:cs="Noto Sans Symbols" w:eastAsia="Noto Sans Symbols" w:hAnsi="Noto Sans Symbols"/>
      </w:rPr>
    </w:lvl>
  </w:abstractNum>
  <w:abstractNum w:abstractNumId="7">
    <w:lvl w:ilvl="0">
      <w:start w:val="1"/>
      <w:numFmt w:val="bullet"/>
      <w:lvlText w:val="✔"/>
      <w:lvlJc w:val="left"/>
      <w:pPr>
        <w:ind w:left="1854" w:hanging="360"/>
      </w:pPr>
      <w:rPr>
        <w:rFonts w:ascii="Noto Sans Symbols" w:cs="Noto Sans Symbols" w:eastAsia="Noto Sans Symbols" w:hAnsi="Noto Sans Symbols"/>
      </w:rPr>
    </w:lvl>
    <w:lvl w:ilvl="1">
      <w:start w:val="1"/>
      <w:numFmt w:val="bullet"/>
      <w:lvlText w:val="o"/>
      <w:lvlJc w:val="left"/>
      <w:pPr>
        <w:ind w:left="2574" w:hanging="360"/>
      </w:pPr>
      <w:rPr>
        <w:rFonts w:ascii="Courier New" w:cs="Courier New" w:eastAsia="Courier New" w:hAnsi="Courier New"/>
      </w:rPr>
    </w:lvl>
    <w:lvl w:ilvl="2">
      <w:start w:val="1"/>
      <w:numFmt w:val="bullet"/>
      <w:lvlText w:val="▪"/>
      <w:lvlJc w:val="left"/>
      <w:pPr>
        <w:ind w:left="3294" w:hanging="360"/>
      </w:pPr>
      <w:rPr>
        <w:rFonts w:ascii="Noto Sans Symbols" w:cs="Noto Sans Symbols" w:eastAsia="Noto Sans Symbols" w:hAnsi="Noto Sans Symbols"/>
      </w:rPr>
    </w:lvl>
    <w:lvl w:ilvl="3">
      <w:start w:val="1"/>
      <w:numFmt w:val="bullet"/>
      <w:lvlText w:val="●"/>
      <w:lvlJc w:val="left"/>
      <w:pPr>
        <w:ind w:left="4014" w:hanging="360"/>
      </w:pPr>
      <w:rPr>
        <w:rFonts w:ascii="Noto Sans Symbols" w:cs="Noto Sans Symbols" w:eastAsia="Noto Sans Symbols" w:hAnsi="Noto Sans Symbols"/>
      </w:rPr>
    </w:lvl>
    <w:lvl w:ilvl="4">
      <w:start w:val="1"/>
      <w:numFmt w:val="bullet"/>
      <w:lvlText w:val="o"/>
      <w:lvlJc w:val="left"/>
      <w:pPr>
        <w:ind w:left="4734" w:hanging="360"/>
      </w:pPr>
      <w:rPr>
        <w:rFonts w:ascii="Courier New" w:cs="Courier New" w:eastAsia="Courier New" w:hAnsi="Courier New"/>
      </w:rPr>
    </w:lvl>
    <w:lvl w:ilvl="5">
      <w:start w:val="1"/>
      <w:numFmt w:val="bullet"/>
      <w:lvlText w:val="▪"/>
      <w:lvlJc w:val="left"/>
      <w:pPr>
        <w:ind w:left="5454" w:hanging="360"/>
      </w:pPr>
      <w:rPr>
        <w:rFonts w:ascii="Noto Sans Symbols" w:cs="Noto Sans Symbols" w:eastAsia="Noto Sans Symbols" w:hAnsi="Noto Sans Symbols"/>
      </w:rPr>
    </w:lvl>
    <w:lvl w:ilvl="6">
      <w:start w:val="1"/>
      <w:numFmt w:val="bullet"/>
      <w:lvlText w:val="●"/>
      <w:lvlJc w:val="left"/>
      <w:pPr>
        <w:ind w:left="6174" w:hanging="360"/>
      </w:pPr>
      <w:rPr>
        <w:rFonts w:ascii="Noto Sans Symbols" w:cs="Noto Sans Symbols" w:eastAsia="Noto Sans Symbols" w:hAnsi="Noto Sans Symbols"/>
      </w:rPr>
    </w:lvl>
    <w:lvl w:ilvl="7">
      <w:start w:val="1"/>
      <w:numFmt w:val="bullet"/>
      <w:lvlText w:val="o"/>
      <w:lvlJc w:val="left"/>
      <w:pPr>
        <w:ind w:left="6894" w:hanging="360"/>
      </w:pPr>
      <w:rPr>
        <w:rFonts w:ascii="Courier New" w:cs="Courier New" w:eastAsia="Courier New" w:hAnsi="Courier New"/>
      </w:rPr>
    </w:lvl>
    <w:lvl w:ilvl="8">
      <w:start w:val="1"/>
      <w:numFmt w:val="bullet"/>
      <w:lvlText w:val="▪"/>
      <w:lvlJc w:val="left"/>
      <w:pPr>
        <w:ind w:left="7614" w:hanging="360"/>
      </w:pPr>
      <w:rPr>
        <w:rFonts w:ascii="Noto Sans Symbols" w:cs="Noto Sans Symbols" w:eastAsia="Noto Sans Symbols" w:hAnsi="Noto Sans Symbols"/>
      </w:rPr>
    </w:lvl>
  </w:abstractNum>
  <w:abstractNum w:abstractNumId="8">
    <w:lvl w:ilvl="0">
      <w:start w:val="4"/>
      <w:numFmt w:val="decimal"/>
      <w:lvlText w:val="%1"/>
      <w:lvlJc w:val="left"/>
      <w:pPr>
        <w:ind w:left="525" w:hanging="525"/>
      </w:pPr>
      <w:rPr/>
    </w:lvl>
    <w:lvl w:ilvl="1">
      <w:start w:val="1"/>
      <w:numFmt w:val="decimal"/>
      <w:lvlText w:val="%1.%2"/>
      <w:lvlJc w:val="left"/>
      <w:pPr>
        <w:ind w:left="525" w:hanging="525"/>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854" w:hanging="360"/>
      </w:pPr>
      <w:rPr>
        <w:rFonts w:ascii="Noto Sans Symbols" w:cs="Noto Sans Symbols" w:eastAsia="Noto Sans Symbols" w:hAnsi="Noto Sans Symbols"/>
      </w:rPr>
    </w:lvl>
    <w:lvl w:ilvl="1">
      <w:start w:val="1"/>
      <w:numFmt w:val="bullet"/>
      <w:lvlText w:val="o"/>
      <w:lvlJc w:val="left"/>
      <w:pPr>
        <w:ind w:left="2574" w:hanging="360"/>
      </w:pPr>
      <w:rPr>
        <w:rFonts w:ascii="Courier New" w:cs="Courier New" w:eastAsia="Courier New" w:hAnsi="Courier New"/>
      </w:rPr>
    </w:lvl>
    <w:lvl w:ilvl="2">
      <w:start w:val="1"/>
      <w:numFmt w:val="bullet"/>
      <w:lvlText w:val="▪"/>
      <w:lvlJc w:val="left"/>
      <w:pPr>
        <w:ind w:left="3294" w:hanging="360"/>
      </w:pPr>
      <w:rPr>
        <w:rFonts w:ascii="Noto Sans Symbols" w:cs="Noto Sans Symbols" w:eastAsia="Noto Sans Symbols" w:hAnsi="Noto Sans Symbols"/>
      </w:rPr>
    </w:lvl>
    <w:lvl w:ilvl="3">
      <w:start w:val="1"/>
      <w:numFmt w:val="bullet"/>
      <w:lvlText w:val="●"/>
      <w:lvlJc w:val="left"/>
      <w:pPr>
        <w:ind w:left="4014" w:hanging="360"/>
      </w:pPr>
      <w:rPr>
        <w:rFonts w:ascii="Noto Sans Symbols" w:cs="Noto Sans Symbols" w:eastAsia="Noto Sans Symbols" w:hAnsi="Noto Sans Symbols"/>
      </w:rPr>
    </w:lvl>
    <w:lvl w:ilvl="4">
      <w:start w:val="1"/>
      <w:numFmt w:val="bullet"/>
      <w:lvlText w:val="o"/>
      <w:lvlJc w:val="left"/>
      <w:pPr>
        <w:ind w:left="4734" w:hanging="360"/>
      </w:pPr>
      <w:rPr>
        <w:rFonts w:ascii="Courier New" w:cs="Courier New" w:eastAsia="Courier New" w:hAnsi="Courier New"/>
      </w:rPr>
    </w:lvl>
    <w:lvl w:ilvl="5">
      <w:start w:val="1"/>
      <w:numFmt w:val="bullet"/>
      <w:lvlText w:val="▪"/>
      <w:lvlJc w:val="left"/>
      <w:pPr>
        <w:ind w:left="5454" w:hanging="360"/>
      </w:pPr>
      <w:rPr>
        <w:rFonts w:ascii="Noto Sans Symbols" w:cs="Noto Sans Symbols" w:eastAsia="Noto Sans Symbols" w:hAnsi="Noto Sans Symbols"/>
      </w:rPr>
    </w:lvl>
    <w:lvl w:ilvl="6">
      <w:start w:val="1"/>
      <w:numFmt w:val="bullet"/>
      <w:lvlText w:val="●"/>
      <w:lvlJc w:val="left"/>
      <w:pPr>
        <w:ind w:left="6174" w:hanging="360"/>
      </w:pPr>
      <w:rPr>
        <w:rFonts w:ascii="Noto Sans Symbols" w:cs="Noto Sans Symbols" w:eastAsia="Noto Sans Symbols" w:hAnsi="Noto Sans Symbols"/>
      </w:rPr>
    </w:lvl>
    <w:lvl w:ilvl="7">
      <w:start w:val="1"/>
      <w:numFmt w:val="bullet"/>
      <w:lvlText w:val="o"/>
      <w:lvlJc w:val="left"/>
      <w:pPr>
        <w:ind w:left="6894" w:hanging="360"/>
      </w:pPr>
      <w:rPr>
        <w:rFonts w:ascii="Courier New" w:cs="Courier New" w:eastAsia="Courier New" w:hAnsi="Courier New"/>
      </w:rPr>
    </w:lvl>
    <w:lvl w:ilvl="8">
      <w:start w:val="1"/>
      <w:numFmt w:val="bullet"/>
      <w:lvlText w:val="▪"/>
      <w:lvlJc w:val="left"/>
      <w:pPr>
        <w:ind w:left="7614" w:hanging="360"/>
      </w:pPr>
      <w:rPr>
        <w:rFonts w:ascii="Noto Sans Symbols" w:cs="Noto Sans Symbols" w:eastAsia="Noto Sans Symbols" w:hAnsi="Noto Sans Symbols"/>
      </w:rPr>
    </w:lvl>
  </w:abstractNum>
  <w:abstractNum w:abstractNumId="11">
    <w:lvl w:ilvl="0">
      <w:start w:val="1"/>
      <w:numFmt w:val="upperRoman"/>
      <w:lvlText w:val="%1)"/>
      <w:lvlJc w:val="left"/>
      <w:pPr>
        <w:ind w:left="862" w:hanging="72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1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lvl w:ilvl="0">
      <w:start w:val="4"/>
      <w:numFmt w:val="decimal"/>
      <w:lvlText w:val="%1"/>
      <w:lvlJc w:val="left"/>
      <w:pPr>
        <w:ind w:left="525" w:hanging="525"/>
      </w:pPr>
      <w:rPr>
        <w:i w:val="1"/>
        <w:color w:val="000000"/>
      </w:rPr>
    </w:lvl>
    <w:lvl w:ilvl="1">
      <w:start w:val="3"/>
      <w:numFmt w:val="decimal"/>
      <w:lvlText w:val="%1.%2"/>
      <w:lvlJc w:val="left"/>
      <w:pPr>
        <w:ind w:left="525" w:hanging="525"/>
      </w:pPr>
      <w:rPr>
        <w:i w:val="1"/>
        <w:color w:val="000000"/>
      </w:rPr>
    </w:lvl>
    <w:lvl w:ilvl="2">
      <w:start w:val="1"/>
      <w:numFmt w:val="decimal"/>
      <w:lvlText w:val="%1.%2.%3"/>
      <w:lvlJc w:val="left"/>
      <w:pPr>
        <w:ind w:left="720" w:hanging="720"/>
      </w:pPr>
      <w:rPr>
        <w:i w:val="1"/>
        <w:color w:val="000000"/>
      </w:rPr>
    </w:lvl>
    <w:lvl w:ilvl="3">
      <w:start w:val="1"/>
      <w:numFmt w:val="decimal"/>
      <w:lvlText w:val="%1.%2.%3.%4"/>
      <w:lvlJc w:val="left"/>
      <w:pPr>
        <w:ind w:left="1080" w:hanging="1080"/>
      </w:pPr>
      <w:rPr>
        <w:i w:val="1"/>
        <w:color w:val="000000"/>
      </w:rPr>
    </w:lvl>
    <w:lvl w:ilvl="4">
      <w:start w:val="1"/>
      <w:numFmt w:val="decimal"/>
      <w:lvlText w:val="%1.%2.%3.%4.%5"/>
      <w:lvlJc w:val="left"/>
      <w:pPr>
        <w:ind w:left="1080" w:hanging="1080"/>
      </w:pPr>
      <w:rPr>
        <w:i w:val="1"/>
        <w:color w:val="000000"/>
      </w:rPr>
    </w:lvl>
    <w:lvl w:ilvl="5">
      <w:start w:val="1"/>
      <w:numFmt w:val="decimal"/>
      <w:lvlText w:val="%1.%2.%3.%4.%5.%6"/>
      <w:lvlJc w:val="left"/>
      <w:pPr>
        <w:ind w:left="1440" w:hanging="1440"/>
      </w:pPr>
      <w:rPr>
        <w:i w:val="1"/>
        <w:color w:val="000000"/>
      </w:rPr>
    </w:lvl>
    <w:lvl w:ilvl="6">
      <w:start w:val="1"/>
      <w:numFmt w:val="decimal"/>
      <w:lvlText w:val="%1.%2.%3.%4.%5.%6.%7"/>
      <w:lvlJc w:val="left"/>
      <w:pPr>
        <w:ind w:left="1440" w:hanging="1440"/>
      </w:pPr>
      <w:rPr>
        <w:i w:val="1"/>
        <w:color w:val="000000"/>
      </w:rPr>
    </w:lvl>
    <w:lvl w:ilvl="7">
      <w:start w:val="1"/>
      <w:numFmt w:val="decimal"/>
      <w:lvlText w:val="%1.%2.%3.%4.%5.%6.%7.%8"/>
      <w:lvlJc w:val="left"/>
      <w:pPr>
        <w:ind w:left="1800" w:hanging="1800"/>
      </w:pPr>
      <w:rPr>
        <w:i w:val="1"/>
        <w:color w:val="000000"/>
      </w:rPr>
    </w:lvl>
    <w:lvl w:ilvl="8">
      <w:start w:val="1"/>
      <w:numFmt w:val="decimal"/>
      <w:lvlText w:val="%1.%2.%3.%4.%5.%6.%7.%8.%9"/>
      <w:lvlJc w:val="left"/>
      <w:pPr>
        <w:ind w:left="1800" w:hanging="1800"/>
      </w:pPr>
      <w:rPr>
        <w:i w:val="1"/>
        <w:color w:val="000000"/>
      </w:rPr>
    </w:lvl>
  </w:abstractNum>
  <w:abstractNum w:abstractNumId="14">
    <w:lvl w:ilvl="0">
      <w:start w:val="5"/>
      <w:numFmt w:val="decimal"/>
      <w:lvlText w:val="%1"/>
      <w:lvlJc w:val="left"/>
      <w:pPr>
        <w:ind w:left="525" w:hanging="525"/>
      </w:pPr>
      <w:rPr/>
    </w:lvl>
    <w:lvl w:ilvl="1">
      <w:start w:val="1"/>
      <w:numFmt w:val="decimal"/>
      <w:lvlText w:val="%1.%2"/>
      <w:lvlJc w:val="left"/>
      <w:pPr>
        <w:ind w:left="525" w:hanging="525"/>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15">
    <w:lvl w:ilvl="0">
      <w:start w:val="1"/>
      <w:numFmt w:val="decimal"/>
      <w:lvlText w:val="%1."/>
      <w:lvlJc w:val="left"/>
      <w:pPr>
        <w:ind w:left="360" w:hanging="360"/>
      </w:pPr>
      <w:rPr>
        <w:b w:val="1"/>
        <w:color w:val="000000"/>
      </w:rPr>
    </w:lvl>
    <w:lvl w:ilvl="1">
      <w:start w:val="1"/>
      <w:numFmt w:val="decimal"/>
      <w:lvlText w:val="%1.%2."/>
      <w:lvlJc w:val="left"/>
      <w:pPr>
        <w:ind w:left="2559" w:hanging="432"/>
      </w:pPr>
      <w:rPr>
        <w:b w:val="0"/>
        <w:i w:val="0"/>
        <w:strike w:val="0"/>
        <w:color w:val="000000"/>
        <w:sz w:val="20"/>
        <w:szCs w:val="20"/>
        <w:u w:val="none"/>
      </w:rPr>
    </w:lvl>
    <w:lvl w:ilvl="2">
      <w:start w:val="1"/>
      <w:numFmt w:val="decimal"/>
      <w:lvlText w:val="%1.%2.%3."/>
      <w:lvlJc w:val="left"/>
      <w:pPr>
        <w:ind w:left="2773" w:hanging="504"/>
      </w:pPr>
      <w:rPr>
        <w:rFonts w:ascii="Tahoma" w:cs="Tahoma" w:eastAsia="Tahoma" w:hAnsi="Tahoma"/>
        <w:b w:val="0"/>
        <w:i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3.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6">
    <w:lvl w:ilvl="0">
      <w:start w:val="5"/>
      <w:numFmt w:val="decimal"/>
      <w:lvlText w:val="%1"/>
      <w:lvlJc w:val="left"/>
      <w:pPr>
        <w:ind w:left="525" w:hanging="525"/>
      </w:pPr>
      <w:rPr>
        <w:i w:val="1"/>
        <w:color w:val="000000"/>
      </w:rPr>
    </w:lvl>
    <w:lvl w:ilvl="1">
      <w:start w:val="3"/>
      <w:numFmt w:val="decimal"/>
      <w:lvlText w:val="%1.%2"/>
      <w:lvlJc w:val="left"/>
      <w:pPr>
        <w:ind w:left="525" w:hanging="525"/>
      </w:pPr>
      <w:rPr>
        <w:i w:val="1"/>
        <w:color w:val="000000"/>
      </w:rPr>
    </w:lvl>
    <w:lvl w:ilvl="2">
      <w:start w:val="2"/>
      <w:numFmt w:val="decimal"/>
      <w:lvlText w:val="%1.%2.%3"/>
      <w:lvlJc w:val="left"/>
      <w:pPr>
        <w:ind w:left="720" w:hanging="720"/>
      </w:pPr>
      <w:rPr>
        <w:i w:val="1"/>
        <w:color w:val="000000"/>
      </w:rPr>
    </w:lvl>
    <w:lvl w:ilvl="3">
      <w:start w:val="1"/>
      <w:numFmt w:val="decimal"/>
      <w:lvlText w:val="%1.%2.%3.%4"/>
      <w:lvlJc w:val="left"/>
      <w:pPr>
        <w:ind w:left="1080" w:hanging="1080"/>
      </w:pPr>
      <w:rPr>
        <w:i w:val="1"/>
        <w:color w:val="000000"/>
      </w:rPr>
    </w:lvl>
    <w:lvl w:ilvl="4">
      <w:start w:val="1"/>
      <w:numFmt w:val="decimal"/>
      <w:lvlText w:val="%1.%2.%3.%4.%5"/>
      <w:lvlJc w:val="left"/>
      <w:pPr>
        <w:ind w:left="1080" w:hanging="1080"/>
      </w:pPr>
      <w:rPr>
        <w:i w:val="1"/>
        <w:color w:val="000000"/>
      </w:rPr>
    </w:lvl>
    <w:lvl w:ilvl="5">
      <w:start w:val="1"/>
      <w:numFmt w:val="decimal"/>
      <w:lvlText w:val="%1.%2.%3.%4.%5.%6"/>
      <w:lvlJc w:val="left"/>
      <w:pPr>
        <w:ind w:left="1440" w:hanging="1440"/>
      </w:pPr>
      <w:rPr>
        <w:i w:val="1"/>
        <w:color w:val="000000"/>
      </w:rPr>
    </w:lvl>
    <w:lvl w:ilvl="6">
      <w:start w:val="1"/>
      <w:numFmt w:val="decimal"/>
      <w:lvlText w:val="%1.%2.%3.%4.%5.%6.%7"/>
      <w:lvlJc w:val="left"/>
      <w:pPr>
        <w:ind w:left="1440" w:hanging="1440"/>
      </w:pPr>
      <w:rPr>
        <w:i w:val="1"/>
        <w:color w:val="000000"/>
      </w:rPr>
    </w:lvl>
    <w:lvl w:ilvl="7">
      <w:start w:val="1"/>
      <w:numFmt w:val="decimal"/>
      <w:lvlText w:val="%1.%2.%3.%4.%5.%6.%7.%8"/>
      <w:lvlJc w:val="left"/>
      <w:pPr>
        <w:ind w:left="1800" w:hanging="1800"/>
      </w:pPr>
      <w:rPr>
        <w:i w:val="1"/>
        <w:color w:val="000000"/>
      </w:rPr>
    </w:lvl>
    <w:lvl w:ilvl="8">
      <w:start w:val="1"/>
      <w:numFmt w:val="decimal"/>
      <w:lvlText w:val="%1.%2.%3.%4.%5.%6.%7.%8.%9"/>
      <w:lvlJc w:val="left"/>
      <w:pPr>
        <w:ind w:left="1800" w:hanging="1800"/>
      </w:pPr>
      <w:rPr>
        <w:i w:val="1"/>
        <w:color w:val="000000"/>
      </w:rPr>
    </w:lvl>
  </w:abstractNum>
  <w:abstractNum w:abstractNumId="17">
    <w:lvl w:ilvl="0">
      <w:start w:val="6"/>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18">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9">
    <w:lvl w:ilvl="0">
      <w:start w:val="6"/>
      <w:numFmt w:val="decimal"/>
      <w:lvlText w:val="%1"/>
      <w:lvlJc w:val="left"/>
      <w:pPr>
        <w:ind w:left="525" w:hanging="525"/>
      </w:pPr>
      <w:rPr>
        <w:color w:val="000000"/>
      </w:rPr>
    </w:lvl>
    <w:lvl w:ilvl="1">
      <w:start w:val="2"/>
      <w:numFmt w:val="decimal"/>
      <w:lvlText w:val="%1.%2"/>
      <w:lvlJc w:val="left"/>
      <w:pPr>
        <w:ind w:left="525" w:hanging="525"/>
      </w:pPr>
      <w:rPr>
        <w:color w:val="000000"/>
      </w:rPr>
    </w:lvl>
    <w:lvl w:ilvl="2">
      <w:start w:val="2"/>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0">
    <w:lvl w:ilvl="0">
      <w:start w:val="6"/>
      <w:numFmt w:val="decimal"/>
      <w:lvlText w:val="%1"/>
      <w:lvlJc w:val="left"/>
      <w:pPr>
        <w:ind w:left="525" w:hanging="525"/>
      </w:pPr>
      <w:rPr>
        <w:i w:val="1"/>
        <w:color w:val="000000"/>
      </w:rPr>
    </w:lvl>
    <w:lvl w:ilvl="1">
      <w:start w:val="4"/>
      <w:numFmt w:val="decimal"/>
      <w:lvlText w:val="%1.%2"/>
      <w:lvlJc w:val="left"/>
      <w:pPr>
        <w:ind w:left="525" w:hanging="525"/>
      </w:pPr>
      <w:rPr>
        <w:i w:val="1"/>
        <w:color w:val="000000"/>
      </w:rPr>
    </w:lvl>
    <w:lvl w:ilvl="2">
      <w:start w:val="1"/>
      <w:numFmt w:val="decimal"/>
      <w:lvlText w:val="%1.%2.%3"/>
      <w:lvlJc w:val="left"/>
      <w:pPr>
        <w:ind w:left="720" w:hanging="720"/>
      </w:pPr>
      <w:rPr>
        <w:i w:val="1"/>
        <w:color w:val="000000"/>
      </w:rPr>
    </w:lvl>
    <w:lvl w:ilvl="3">
      <w:start w:val="1"/>
      <w:numFmt w:val="decimal"/>
      <w:lvlText w:val="%1.%2.%3.%4"/>
      <w:lvlJc w:val="left"/>
      <w:pPr>
        <w:ind w:left="1080" w:hanging="1080"/>
      </w:pPr>
      <w:rPr>
        <w:i w:val="1"/>
        <w:color w:val="000000"/>
      </w:rPr>
    </w:lvl>
    <w:lvl w:ilvl="4">
      <w:start w:val="1"/>
      <w:numFmt w:val="decimal"/>
      <w:lvlText w:val="%1.%2.%3.%4.%5"/>
      <w:lvlJc w:val="left"/>
      <w:pPr>
        <w:ind w:left="1080" w:hanging="1080"/>
      </w:pPr>
      <w:rPr>
        <w:i w:val="1"/>
        <w:color w:val="000000"/>
      </w:rPr>
    </w:lvl>
    <w:lvl w:ilvl="5">
      <w:start w:val="1"/>
      <w:numFmt w:val="decimal"/>
      <w:lvlText w:val="%1.%2.%3.%4.%5.%6"/>
      <w:lvlJc w:val="left"/>
      <w:pPr>
        <w:ind w:left="1440" w:hanging="1440"/>
      </w:pPr>
      <w:rPr>
        <w:i w:val="1"/>
        <w:color w:val="000000"/>
      </w:rPr>
    </w:lvl>
    <w:lvl w:ilvl="6">
      <w:start w:val="1"/>
      <w:numFmt w:val="decimal"/>
      <w:lvlText w:val="%1.%2.%3.%4.%5.%6.%7"/>
      <w:lvlJc w:val="left"/>
      <w:pPr>
        <w:ind w:left="1440" w:hanging="1440"/>
      </w:pPr>
      <w:rPr>
        <w:i w:val="1"/>
        <w:color w:val="000000"/>
      </w:rPr>
    </w:lvl>
    <w:lvl w:ilvl="7">
      <w:start w:val="1"/>
      <w:numFmt w:val="decimal"/>
      <w:lvlText w:val="%1.%2.%3.%4.%5.%6.%7.%8"/>
      <w:lvlJc w:val="left"/>
      <w:pPr>
        <w:ind w:left="1800" w:hanging="1800"/>
      </w:pPr>
      <w:rPr>
        <w:i w:val="1"/>
        <w:color w:val="000000"/>
      </w:rPr>
    </w:lvl>
    <w:lvl w:ilvl="8">
      <w:start w:val="1"/>
      <w:numFmt w:val="decimal"/>
      <w:lvlText w:val="%1.%2.%3.%4.%5.%6.%7.%8.%9"/>
      <w:lvlJc w:val="left"/>
      <w:pPr>
        <w:ind w:left="1800" w:hanging="1800"/>
      </w:pPr>
      <w:rPr>
        <w:i w:val="1"/>
        <w:color w:val="00000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40" w:lineRule="auto"/>
      <w:ind w:left="0" w:right="0" w:firstLine="0"/>
      <w:jc w:val="left"/>
    </w:pPr>
    <w:rPr>
      <w:rFonts w:ascii="Calibri" w:cs="Calibri" w:eastAsia="Calibri" w:hAnsi="Calibri"/>
      <w:b w:val="1"/>
      <w:i w:val="0"/>
      <w:smallCaps w:val="0"/>
      <w:strike w:val="0"/>
      <w:color w:val="366091"/>
      <w:sz w:val="28"/>
      <w:szCs w:val="28"/>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240" w:lineRule="auto"/>
      <w:ind w:left="0" w:right="0" w:firstLine="0"/>
      <w:jc w:val="center"/>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59" w:lineRule="auto"/>
      <w:ind w:left="0" w:right="0" w:firstLine="0"/>
      <w:jc w:val="left"/>
    </w:pPr>
    <w:rPr>
      <w:rFonts w:ascii="Calibri" w:cs="Calibri" w:eastAsia="Calibri" w:hAnsi="Calibri"/>
      <w:b w:val="0"/>
      <w:i w:val="0"/>
      <w:smallCaps w:val="0"/>
      <w:strike w:val="0"/>
      <w:color w:val="243f61"/>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1"/>
      <w:smallCaps w:val="0"/>
      <w:strike w:val="0"/>
      <w:color w:val="366091"/>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Ecofont_Spranq_eco_Sans" w:cs="Ecofont_Spranq_eco_Sans" w:eastAsia="Ecofont_Spranq_eco_Sans" w:hAnsi="Ecofont_Spranq_eco_Sans"/>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59" w:lineRule="auto"/>
      <w:ind w:left="0" w:right="0" w:firstLine="0"/>
      <w:jc w:val="left"/>
    </w:pPr>
    <w:rPr>
      <w:rFonts w:ascii="Calibri" w:cs="Calibri" w:eastAsia="Calibri" w:hAnsi="Calibri"/>
      <w:b w:val="0"/>
      <w:i w:val="0"/>
      <w:smallCaps w:val="0"/>
      <w:strike w:val="0"/>
      <w:color w:val="243f61"/>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color="4f81bd" w:space="4" w:sz="8" w:val="single"/>
        <w:right w:space="0" w:sz="0" w:val="nil"/>
        <w:between w:space="0" w:sz="0" w:val="nil"/>
      </w:pBdr>
      <w:shd w:fill="auto" w:val="clear"/>
      <w:spacing w:after="300" w:before="0" w:line="240" w:lineRule="auto"/>
      <w:ind w:left="0" w:right="0" w:firstLine="0"/>
      <w:jc w:val="left"/>
    </w:pPr>
    <w:rPr>
      <w:rFonts w:ascii="Calibri" w:cs="Calibri" w:eastAsia="Calibri" w:hAnsi="Calibri"/>
      <w:b w:val="0"/>
      <w:i w:val="0"/>
      <w:smallCaps w:val="0"/>
      <w:strike w:val="0"/>
      <w:color w:val="17365d"/>
      <w:sz w:val="52"/>
      <w:szCs w:val="52"/>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normal0" w:customStyle="1">
    <w:name w:val="normal"/>
    <w:rsid w:val="005312E6"/>
  </w:style>
  <w:style w:type="table" w:styleId="TableNormal" w:customStyle="1">
    <w:name w:val="TableNormal"/>
    <w:rsid w:val="005312E6"/>
    <w:tblPr>
      <w:tblCellMar>
        <w:top w:w="0.0" w:type="dxa"/>
        <w:left w:w="0.0" w:type="dxa"/>
        <w:bottom w:w="0.0" w:type="dxa"/>
        <w:right w:w="0.0" w:type="dxa"/>
      </w:tblCellMar>
    </w:tblPr>
  </w:style>
  <w:style w:type="paragraph" w:styleId="Normal1" w:customStyle="1">
    <w:name w:val="Normal1"/>
    <w:rsid w:val="00F26189"/>
  </w:style>
  <w:style w:type="table" w:styleId="TableNormal0" w:customStyle="1">
    <w:name w:val="Table Normal"/>
    <w:rsid w:val="00F26189"/>
    <w:tblPr>
      <w:tblCellMar>
        <w:top w:w="0.0" w:type="dxa"/>
        <w:left w:w="0.0" w:type="dxa"/>
        <w:bottom w:w="0.0" w:type="dxa"/>
        <w:right w:w="0.0" w:type="dxa"/>
      </w:tblCellMar>
    </w:tblPr>
  </w:style>
  <w:style w:type="paragraph" w:styleId="PargrafodaLista">
    <w:name w:val="List Paragraph"/>
    <w:basedOn w:val="normal0"/>
    <w:link w:val="PargrafodaListaChar"/>
    <w:uiPriority w:val="34"/>
    <w:qFormat w:val="1"/>
    <w:rsid w:val="004773FC"/>
    <w:pPr>
      <w:ind w:left="720"/>
      <w:contextualSpacing w:val="1"/>
    </w:pPr>
  </w:style>
  <w:style w:type="paragraph" w:styleId="NormalWeb">
    <w:name w:val="Normal (Web)"/>
    <w:basedOn w:val="normal0"/>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0"/>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rsid w:val="004B460A"/>
    <w:rPr>
      <w:b w:val="1"/>
      <w:color w:val="000000"/>
      <w:sz w:val="24"/>
    </w:rPr>
  </w:style>
  <w:style w:type="paragraph" w:styleId="Nvel2" w:customStyle="1">
    <w:name w:val="Nível 2"/>
    <w:basedOn w:val="normal0"/>
    <w:next w:val="normal0"/>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0"/>
    <w:next w:val="normal0"/>
    <w:link w:val="CitaoChar"/>
    <w:uiPriority w:val="29"/>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uiPriority w:val="29"/>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0"/>
    <w:rsid w:val="001A3A05"/>
    <w:pPr>
      <w:tabs>
        <w:tab w:val="num" w:pos="720"/>
      </w:tabs>
      <w:ind w:left="720" w:hanging="720"/>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0"/>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0"/>
    <w:link w:val="RodapChar"/>
    <w:uiPriority w:val="99"/>
    <w:rsid w:val="00CA24FB"/>
    <w:pPr>
      <w:tabs>
        <w:tab w:val="center" w:pos="4252"/>
        <w:tab w:val="right" w:pos="8504"/>
      </w:tabs>
    </w:pPr>
  </w:style>
  <w:style w:type="character" w:styleId="RodapChar" w:customStyle="1">
    <w:name w:val="Rodapé Char"/>
    <w:link w:val="Rodap"/>
    <w:uiPriority w:val="99"/>
    <w:rsid w:val="00CA24FB"/>
    <w:rPr>
      <w:rFonts w:ascii="Ecofont_Spranq_eco_Sans" w:cs="Tahoma" w:hAnsi="Ecofont_Spranq_eco_Sans"/>
      <w:sz w:val="24"/>
      <w:szCs w:val="24"/>
    </w:rPr>
  </w:style>
  <w:style w:type="numbering" w:styleId="Estilo1" w:customStyle="1">
    <w:name w:val="Estilo1"/>
    <w:uiPriority w:val="99"/>
    <w:rsid w:val="008C6874"/>
  </w:style>
  <w:style w:type="numbering" w:styleId="Estilo2" w:customStyle="1">
    <w:name w:val="Estilo2"/>
    <w:uiPriority w:val="99"/>
    <w:rsid w:val="00A72B79"/>
  </w:style>
  <w:style w:type="numbering" w:styleId="Estilo3" w:customStyle="1">
    <w:name w:val="Estilo3"/>
    <w:uiPriority w:val="99"/>
    <w:rsid w:val="00A72B79"/>
  </w:style>
  <w:style w:type="numbering" w:styleId="Estilo4" w:customStyle="1">
    <w:name w:val="Estilo4"/>
    <w:uiPriority w:val="99"/>
    <w:rsid w:val="0054016D"/>
  </w:style>
  <w:style w:type="numbering" w:styleId="Estilo5" w:customStyle="1">
    <w:name w:val="Estilo5"/>
    <w:uiPriority w:val="99"/>
    <w:rsid w:val="0054016D"/>
  </w:style>
  <w:style w:type="numbering" w:styleId="Estilo6" w:customStyle="1">
    <w:name w:val="Estilo6"/>
    <w:uiPriority w:val="99"/>
    <w:rsid w:val="0054016D"/>
  </w:style>
  <w:style w:type="character" w:styleId="Refdecomentrio">
    <w:name w:val="annotation reference"/>
    <w:basedOn w:val="Fontepargpadro"/>
    <w:unhideWhenUsed w:val="1"/>
    <w:qFormat w:val="1"/>
    <w:rsid w:val="00430FDB"/>
    <w:rPr>
      <w:sz w:val="16"/>
      <w:szCs w:val="16"/>
    </w:rPr>
  </w:style>
  <w:style w:type="paragraph" w:styleId="Textodecomentrio">
    <w:name w:val="annotation text"/>
    <w:basedOn w:val="normal0"/>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next w:val="normal0"/>
    <w:link w:val="Nivel01Char"/>
    <w:autoRedefine w:val="1"/>
    <w:qFormat w:val="1"/>
    <w:rsid w:val="00C92D99"/>
    <w:pPr>
      <w:tabs>
        <w:tab w:val="left" w:pos="567"/>
        <w:tab w:val="num" w:pos="720"/>
      </w:tabs>
      <w:spacing w:after="120" w:before="240" w:line="276" w:lineRule="auto"/>
      <w:jc w:val="both"/>
    </w:pPr>
    <w:rPr>
      <w:rFonts w:ascii="Arial" w:cs="Arial" w:hAnsi="Arial"/>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C92D99"/>
    <w:rPr>
      <w:rFonts w:ascii="Arial" w:cs="Arial" w:hAnsi="Arial" w:eastAsiaTheme="majorEastAsia"/>
      <w:b w:val="1"/>
      <w:bCs w:val="1"/>
      <w:color w:val="17365d" w:themeColor="text2" w:themeShade="0000BF"/>
      <w:spacing w:val="5"/>
      <w:kern w:val="28"/>
      <w:sz w:val="20"/>
      <w:szCs w:val="20"/>
      <w:lang w:eastAsia="pt-BR"/>
    </w:rPr>
  </w:style>
  <w:style w:type="character" w:styleId="Ttulo1Char" w:customStyle="1">
    <w:name w:val="Título 1 Char"/>
    <w:basedOn w:val="Fontepargpadro"/>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cs="Lohit Hindi" w:eastAsia="WenQuanYi Micro Hei"/>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0"/>
    <w:next w:val="normal0"/>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0"/>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0"/>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link w:val="Nivel1Char"/>
    <w:qFormat w:val="1"/>
    <w:rsid w:val="00D30A43"/>
    <w:pPr>
      <w:spacing w:line="276" w:lineRule="auto"/>
      <w:ind w:left="357" w:hanging="357"/>
      <w:jc w:val="both"/>
    </w:pPr>
    <w:rPr>
      <w:rFonts w:ascii="Arial" w:cs="Arial" w:hAnsi="Arial"/>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0"/>
    <w:rsid w:val="00D30A43"/>
    <w:pPr>
      <w:ind w:left="720"/>
    </w:pPr>
    <w:rPr>
      <w:rFonts w:eastAsia="Times New Roman"/>
    </w:rPr>
  </w:style>
  <w:style w:type="paragraph" w:styleId="Nivel2" w:customStyle="1">
    <w:name w:val="Nivel 2"/>
    <w:basedOn w:val="normal0"/>
    <w:link w:val="Nivel2Char"/>
    <w:autoRedefine w:val="1"/>
    <w:qFormat w:val="1"/>
    <w:rsid w:val="00DE31C5"/>
    <w:pPr>
      <w:tabs>
        <w:tab w:val="num" w:pos="1440"/>
      </w:tabs>
      <w:spacing w:after="120" w:before="120" w:line="276" w:lineRule="auto"/>
      <w:jc w:val="both"/>
    </w:pPr>
    <w:rPr>
      <w:rFonts w:ascii="Arial" w:cs="Arial" w:hAnsi="Arial"/>
      <w:color w:val="000000"/>
      <w:sz w:val="20"/>
      <w:szCs w:val="20"/>
      <w:lang w:eastAsia="en-US"/>
    </w:rPr>
  </w:style>
  <w:style w:type="paragraph" w:styleId="Nivel10" w:customStyle="1">
    <w:name w:val="Nivel 1"/>
    <w:basedOn w:val="Nivel2"/>
    <w:next w:val="Nivel2"/>
    <w:rsid w:val="003629E4"/>
    <w:pPr>
      <w:tabs>
        <w:tab w:val="clear" w:pos="1440"/>
      </w:tabs>
      <w:ind w:left="360" w:hanging="360"/>
    </w:pPr>
    <w:rPr>
      <w:b w:val="1"/>
    </w:rPr>
  </w:style>
  <w:style w:type="paragraph" w:styleId="Nivel3" w:customStyle="1">
    <w:name w:val="Nivel 3"/>
    <w:basedOn w:val="normal0"/>
    <w:link w:val="Nivel3Char"/>
    <w:autoRedefine w:val="1"/>
    <w:qFormat w:val="1"/>
    <w:rsid w:val="00775DCE"/>
    <w:pPr>
      <w:tabs>
        <w:tab w:val="num" w:pos="2160"/>
      </w:tabs>
      <w:spacing w:after="120" w:before="120" w:line="276" w:lineRule="auto"/>
      <w:ind w:left="284"/>
      <w:jc w:val="both"/>
    </w:pPr>
    <w:rPr>
      <w:rFonts w:ascii="Arial" w:cs="Arial" w:hAnsi="Arial"/>
      <w:color w:val="000000"/>
      <w:sz w:val="20"/>
      <w:szCs w:val="20"/>
      <w:lang w:eastAsia="en-US"/>
    </w:rPr>
  </w:style>
  <w:style w:type="paragraph" w:styleId="Nivel4" w:customStyle="1">
    <w:name w:val="Nivel 4"/>
    <w:basedOn w:val="Nivel3"/>
    <w:link w:val="Nivel4Char"/>
    <w:autoRedefine w:val="1"/>
    <w:qFormat w:val="1"/>
    <w:rsid w:val="00EC49E9"/>
    <w:pPr>
      <w:numPr>
        <w:ilvl w:val="3"/>
      </w:numPr>
      <w:tabs>
        <w:tab w:val="num" w:pos="2160"/>
      </w:tabs>
      <w:ind w:left="567"/>
    </w:pPr>
    <w:rPr>
      <w:color w:val="auto"/>
    </w:rPr>
  </w:style>
  <w:style w:type="paragraph" w:styleId="Nivel5" w:customStyle="1">
    <w:name w:val="Nivel 5"/>
    <w:basedOn w:val="Nivel4"/>
    <w:autoRedefine w:val="1"/>
    <w:qFormat w:val="1"/>
    <w:rsid w:val="004B3BD3"/>
    <w:pPr>
      <w:numPr>
        <w:ilvl w:val="4"/>
      </w:numPr>
      <w:tabs>
        <w:tab w:val="num" w:pos="2160"/>
      </w:tabs>
      <w:ind w:left="1928" w:hanging="1077"/>
    </w:pPr>
  </w:style>
  <w:style w:type="character" w:styleId="Nivel4Char" w:customStyle="1">
    <w:name w:val="Nivel 4 Char"/>
    <w:basedOn w:val="Fontepargpadro"/>
    <w:link w:val="Nivel4"/>
    <w:rsid w:val="00EC49E9"/>
    <w:rPr>
      <w:rFonts w:ascii="Arial" w:cs="Arial" w:hAnsi="Arial"/>
      <w:lang w:eastAsia="pt-BR"/>
    </w:rPr>
  </w:style>
  <w:style w:type="paragraph" w:styleId="textbody" w:customStyle="1">
    <w:name w:val="textbody"/>
    <w:basedOn w:val="normal0"/>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0"/>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cs="Tahoma" w:eastAsia="Times New Roman"/>
    </w:rPr>
  </w:style>
  <w:style w:type="character" w:styleId="Forte">
    <w:name w:val="Strong"/>
    <w:basedOn w:val="Fontepargpadro"/>
    <w:uiPriority w:val="22"/>
    <w:qFormat w:val="1"/>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0"/>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0"/>
    <w:next w:val="normal0"/>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0"/>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0"/>
    <w:rsid w:val="00D30A43"/>
    <w:pPr>
      <w:ind w:firstLine="1134"/>
      <w:jc w:val="both"/>
    </w:pPr>
    <w:rPr>
      <w:rFonts w:ascii="Times New Roman" w:cs="Times New Roman" w:eastAsia="Times New Roman" w:hAnsi="Times New Roman"/>
      <w:szCs w:val="22"/>
      <w:lang w:eastAsia="en-US"/>
    </w:rPr>
  </w:style>
  <w:style w:type="paragraph" w:styleId="Normal10" w:customStyle="1">
    <w:name w:val="Normal_1"/>
    <w:rsid w:val="00D30A43"/>
    <w:rPr>
      <w:rFonts w:eastAsia="Times New Roman"/>
      <w:szCs w:val="22"/>
    </w:rPr>
  </w:style>
  <w:style w:type="paragraph" w:styleId="tcu-ac-item9-1linha" w:customStyle="1">
    <w:name w:val="tcu_-__ac_-_item_9_-_1ª_linha"/>
    <w:basedOn w:val="normal0"/>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0"/>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0"/>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DE31C5"/>
    <w:rPr>
      <w:rFonts w:ascii="Arial" w:cs="Arial" w:hAnsi="Arial"/>
      <w:color w:val="000000"/>
      <w:sz w:val="20"/>
      <w:szCs w:val="20"/>
      <w:lang w:eastAsia="en-US"/>
    </w:rPr>
  </w:style>
  <w:style w:type="paragraph" w:styleId="Nvel2Opcional" w:customStyle="1">
    <w:name w:val="Nível 2 Opcional"/>
    <w:basedOn w:val="Nivel2"/>
    <w:link w:val="Nvel2OpcionalChar"/>
    <w:rsid w:val="00A831D9"/>
    <w:pPr>
      <w:tabs>
        <w:tab w:val="clear" w:pos="1440"/>
      </w:tabs>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tabs>
        <w:tab w:val="clear" w:pos="2160"/>
      </w:tabs>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0"/>
    <w:next w:val="normal0"/>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0"/>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0"/>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0"/>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0"/>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autoRedefine w:val="1"/>
    <w:qFormat w:val="1"/>
    <w:rsid w:val="00EB73ED"/>
    <w:pPr>
      <w:spacing w:afterLines="120" w:before="120" w:line="312" w:lineRule="auto"/>
      <w:ind w:left="0" w:firstLine="567"/>
      <w:contextualSpacing w:val="0"/>
      <w:jc w:val="center"/>
    </w:pPr>
    <w:rPr>
      <w:rFonts w:ascii="Arial" w:cs="Arial" w:hAnsi="Arial" w:eastAsiaTheme="minorHAnsi"/>
      <w:b w:val="1"/>
      <w:bCs w:val="1"/>
      <w:i w:val="1"/>
      <w:iCs w:val="1"/>
      <w:color w:val="ff0000"/>
      <w:sz w:val="20"/>
      <w:u w:val="single"/>
    </w:rPr>
  </w:style>
  <w:style w:type="character" w:styleId="ouChar" w:customStyle="1">
    <w:name w:val="ou Char"/>
    <w:basedOn w:val="PargrafodaListaChar"/>
    <w:link w:val="ou"/>
    <w:rsid w:val="00EB73ED"/>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0"/>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autoRedefine w:val="1"/>
    <w:qFormat w:val="1"/>
    <w:rsid w:val="00412FA4"/>
    <w:rPr>
      <w:i w:val="1"/>
      <w:iCs w:val="1"/>
      <w:color w:val="auto"/>
    </w:rPr>
  </w:style>
  <w:style w:type="paragraph" w:styleId="Nvel3-R" w:customStyle="1">
    <w:name w:val="Nível 3-R"/>
    <w:basedOn w:val="Nivel3"/>
    <w:link w:val="Nvel3-RChar"/>
    <w:qFormat w:val="1"/>
    <w:rsid w:val="00D42AFB"/>
    <w:pPr>
      <w:ind w:left="1638" w:hanging="504"/>
    </w:pPr>
    <w:rPr>
      <w:i w:val="1"/>
      <w:iCs w:val="1"/>
      <w:color w:val="ff0000"/>
    </w:rPr>
  </w:style>
  <w:style w:type="character" w:styleId="Nvel2-RedChar" w:customStyle="1">
    <w:name w:val="Nível 2 -Red Char"/>
    <w:basedOn w:val="Nivel2Char"/>
    <w:link w:val="Nvel2-Red"/>
    <w:rsid w:val="00412FA4"/>
    <w:rPr>
      <w:rFonts w:ascii="Arial" w:cs="Arial" w:hAnsi="Arial"/>
      <w:i w:val="1"/>
      <w:iCs w:val="1"/>
      <w:color w:val="000000"/>
      <w:sz w:val="20"/>
      <w:szCs w:val="20"/>
      <w:lang w:eastAsia="en-US"/>
    </w:rPr>
  </w:style>
  <w:style w:type="paragraph" w:styleId="Nvel4-R" w:customStyle="1">
    <w:name w:val="Nível 4-R"/>
    <w:basedOn w:val="Nivel4"/>
    <w:link w:val="Nvel4-RChar"/>
    <w:autoRedefine w:val="1"/>
    <w:qFormat w:val="1"/>
    <w:rsid w:val="004B3BD3"/>
    <w:rPr>
      <w:i w:val="1"/>
      <w:iCs w:val="1"/>
      <w:color w:val="ff0000"/>
    </w:rPr>
  </w:style>
  <w:style w:type="character" w:styleId="Nivel3Char" w:customStyle="1">
    <w:name w:val="Nivel 3 Char"/>
    <w:basedOn w:val="Fontepargpadro"/>
    <w:link w:val="Nivel3"/>
    <w:rsid w:val="00775DCE"/>
    <w:rPr>
      <w:rFonts w:ascii="Arial" w:cs="Arial" w:hAnsi="Arial"/>
      <w:color w:val="000000"/>
      <w:sz w:val="20"/>
      <w:szCs w:val="20"/>
      <w:lang w:eastAsia="en-US"/>
    </w:rPr>
  </w:style>
  <w:style w:type="character" w:styleId="Nvel3-RChar" w:customStyle="1">
    <w:name w:val="Nível 3-R Char"/>
    <w:basedOn w:val="Nivel3Char"/>
    <w:link w:val="Nvel3-R"/>
    <w:rsid w:val="00D42AFB"/>
    <w:rPr>
      <w:rFonts w:ascii="Arial" w:cs="Arial" w:hAnsi="Arial"/>
      <w:i w:val="1"/>
      <w:iCs w:val="1"/>
      <w:color w:val="ff0000"/>
      <w:sz w:val="20"/>
      <w:szCs w:val="20"/>
      <w:lang w:eastAsia="pt-BR"/>
    </w:rPr>
  </w:style>
  <w:style w:type="paragraph" w:styleId="Nvel1-SemNum" w:customStyle="1">
    <w:name w:val="Nível 1-Sem Num"/>
    <w:basedOn w:val="Nivel01"/>
    <w:link w:val="Nvel1-SemNumChar"/>
    <w:autoRedefine w:val="1"/>
    <w:qFormat w:val="1"/>
    <w:rsid w:val="00155060"/>
    <w:pPr>
      <w:tabs>
        <w:tab w:val="clear" w:pos="720"/>
      </w:tabs>
      <w:outlineLvl w:val="1"/>
    </w:pPr>
  </w:style>
  <w:style w:type="character" w:styleId="Nvel4-RChar" w:customStyle="1">
    <w:name w:val="Nível 4-R Char"/>
    <w:basedOn w:val="Nivel4Char"/>
    <w:link w:val="Nvel4-R"/>
    <w:rsid w:val="004B3BD3"/>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155060"/>
    <w:rPr>
      <w:rFonts w:ascii="Arial" w:cs="Arial" w:hAnsi="Arial" w:eastAsiaTheme="majorEastAsia"/>
      <w:b w:val="1"/>
      <w:bCs w:val="1"/>
      <w:color w:val="7030a0"/>
      <w:spacing w:val="5"/>
      <w:kern w:val="28"/>
      <w:sz w:val="52"/>
      <w:szCs w:val="52"/>
      <w:lang w:eastAsia="pt-BR"/>
    </w:rPr>
  </w:style>
  <w:style w:type="paragraph" w:styleId="citao2" w:customStyle="1">
    <w:name w:val="citação 2"/>
    <w:basedOn w:val="Citao"/>
    <w:link w:val="citao2Char"/>
    <w:rsid w:val="00DC41DD"/>
    <w:pPr>
      <w:overflowPunct w:val="0"/>
    </w:pPr>
    <w:rPr>
      <w:szCs w:val="20"/>
    </w:rPr>
  </w:style>
  <w:style w:type="paragraph" w:styleId="Prembulo" w:customStyle="1">
    <w:name w:val="Preâmbulo"/>
    <w:basedOn w:val="normal0"/>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citao2Char" w:customStyle="1">
    <w:name w:val="citação 2 Char"/>
    <w:basedOn w:val="CitaoChar"/>
    <w:link w:val="citao2"/>
    <w:rsid w:val="00FF2673"/>
    <w:rPr>
      <w:rFonts w:ascii="Arial" w:cs="Tahoma" w:eastAsia="Calibri" w:hAnsi="Arial"/>
      <w:i w:val="1"/>
      <w:iCs w:val="1"/>
      <w:color w:val="000000"/>
      <w:szCs w:val="24"/>
      <w:shd w:color="auto" w:fill="ffffcc" w:val="clear"/>
    </w:rPr>
  </w:style>
  <w:style w:type="character" w:styleId="MenoPendente5" w:customStyle="1">
    <w:name w:val="Menção Pendente5"/>
    <w:basedOn w:val="Fontepargpadro"/>
    <w:uiPriority w:val="99"/>
    <w:semiHidden w:val="1"/>
    <w:unhideWhenUsed w:val="1"/>
    <w:rsid w:val="00400869"/>
    <w:rPr>
      <w:color w:val="605e5c"/>
      <w:shd w:color="auto" w:fill="e1dfdd" w:val="clear"/>
    </w:rPr>
  </w:style>
  <w:style w:type="character" w:styleId="Mentionnonrsolue1" w:customStyle="1">
    <w:name w:val="Mention non résolue1"/>
    <w:basedOn w:val="Fontepargpadro"/>
    <w:uiPriority w:val="99"/>
    <w:semiHidden w:val="1"/>
    <w:unhideWhenUsed w:val="1"/>
    <w:rsid w:val="000905EA"/>
    <w:rPr>
      <w:color w:val="605e5c"/>
      <w:shd w:color="auto" w:fill="e1dfdd" w:val="clear"/>
    </w:rPr>
  </w:style>
  <w:style w:type="character" w:styleId="UnresolvedMention" w:customStyle="1">
    <w:name w:val="Unresolved Mention"/>
    <w:basedOn w:val="Fontepargpadro"/>
    <w:uiPriority w:val="99"/>
    <w:semiHidden w:val="1"/>
    <w:unhideWhenUsed w:val="1"/>
    <w:rsid w:val="00694E6B"/>
    <w:rPr>
      <w:color w:val="605e5c"/>
      <w:shd w:color="auto" w:fill="e1dfdd" w:val="clear"/>
    </w:rPr>
  </w:style>
  <w:style w:type="paragraph" w:styleId="Nivel3-erro" w:customStyle="1">
    <w:name w:val="Nivel 3-erro"/>
    <w:basedOn w:val="normal0"/>
    <w:link w:val="Nivel3-erroChar"/>
    <w:uiPriority w:val="1"/>
    <w:qFormat w:val="1"/>
    <w:rsid w:val="6408EE53"/>
    <w:pPr>
      <w:spacing w:after="120" w:before="120"/>
      <w:ind w:left="425"/>
      <w:jc w:val="both"/>
    </w:pPr>
    <w:rPr>
      <w:rFonts w:ascii="Arial" w:hAnsi="Arial"/>
      <w:sz w:val="20"/>
      <w:szCs w:val="20"/>
    </w:rPr>
  </w:style>
  <w:style w:type="character" w:styleId="Nivel3-erroChar" w:customStyle="1">
    <w:name w:val="Nivel 3-erro Char"/>
    <w:basedOn w:val="Fontepargpadro"/>
    <w:link w:val="Nivel3-erro"/>
    <w:uiPriority w:val="1"/>
    <w:rsid w:val="6408EE53"/>
    <w:rPr>
      <w:rFonts w:ascii="Arial" w:cs="Tahoma" w:hAnsi="Arial"/>
      <w:sz w:val="20"/>
      <w:szCs w:val="20"/>
    </w:rPr>
  </w:style>
  <w:style w:type="paragraph" w:styleId="Nvel1-SemBlack" w:customStyle="1">
    <w:name w:val="Nível 1-Sem Black"/>
    <w:basedOn w:val="Nvel1-SemNum"/>
    <w:link w:val="Nvel1-SemBlackChar"/>
    <w:qFormat w:val="1"/>
    <w:rsid w:val="00C841BE"/>
  </w:style>
  <w:style w:type="character" w:styleId="Nvel1-SemBlackChar" w:customStyle="1">
    <w:name w:val="Nível 1-Sem Black Char"/>
    <w:basedOn w:val="Nvel1-SemNumChar"/>
    <w:link w:val="Nvel1-SemBlack"/>
    <w:rsid w:val="00C841BE"/>
    <w:rPr>
      <w:rFonts w:ascii="Arial" w:cs="Arial" w:hAnsi="Arial" w:eastAsiaTheme="majorEastAsia"/>
      <w:b w:val="1"/>
      <w:bCs w:val="1"/>
      <w:color w:val="ff0000"/>
      <w:spacing w:val="5"/>
      <w:kern w:val="28"/>
      <w:sz w:val="52"/>
      <w:szCs w:val="52"/>
      <w:lang w:eastAsia="pt-BR"/>
    </w:rPr>
  </w:style>
  <w:style w:type="paragraph" w:styleId="ApTexto" w:customStyle="1">
    <w:name w:val="ApTexto"/>
    <w:basedOn w:val="normal0"/>
    <w:link w:val="ApTextoChar"/>
    <w:qFormat w:val="1"/>
    <w:rsid w:val="007F7B1A"/>
    <w:pPr>
      <w:spacing w:after="120" w:before="120"/>
      <w:ind w:firstLine="1134"/>
      <w:jc w:val="both"/>
    </w:pPr>
    <w:rPr>
      <w:rFonts w:eastAsia="Calibri" w:asciiTheme="majorHAnsi" w:cstheme="majorHAnsi" w:hAnsiTheme="majorHAnsi"/>
      <w:lang w:eastAsia="en-US"/>
    </w:rPr>
  </w:style>
  <w:style w:type="character" w:styleId="ApTextoChar" w:customStyle="1">
    <w:name w:val="ApTexto Char"/>
    <w:basedOn w:val="Fontepargpadro"/>
    <w:link w:val="ApTexto"/>
    <w:rsid w:val="007F7B1A"/>
    <w:rPr>
      <w:rFonts w:eastAsia="Calibri" w:asciiTheme="majorHAnsi" w:cstheme="majorHAnsi" w:hAnsiTheme="majorHAnsi"/>
      <w:sz w:val="24"/>
      <w:szCs w:val="24"/>
    </w:rPr>
  </w:style>
  <w:style w:type="table" w:styleId="1" w:customStyle="1">
    <w:name w:val="1"/>
    <w:basedOn w:val="TableNormal0"/>
    <w:rsid w:val="00F26189"/>
    <w:tblPr>
      <w:tblStyleRowBandSize w:val="1"/>
      <w:tblStyleColBandSize w:val="1"/>
      <w:tblCellMar>
        <w:top w:w="0.0" w:type="dxa"/>
        <w:left w:w="115.0" w:type="dxa"/>
        <w:bottom w:w="0.0" w:type="dxa"/>
        <w:right w:w="115.0" w:type="dxa"/>
      </w:tblCellMar>
    </w:tblPr>
  </w:style>
  <w:style w:type="paragraph" w:styleId="TextosemFormatao1" w:customStyle="1">
    <w:name w:val="Texto sem Formatação1"/>
    <w:basedOn w:val="normal0"/>
    <w:rsid w:val="00C17165"/>
    <w:pPr>
      <w:suppressAutoHyphens w:val="1"/>
    </w:pPr>
    <w:rPr>
      <w:rFonts w:ascii="Courier New" w:cs="Times New Roman" w:eastAsia="Times New Roman" w:hAnsi="Courier New"/>
      <w:sz w:val="20"/>
      <w:szCs w:val="20"/>
      <w:lang w:eastAsia="ar-SA"/>
    </w:rPr>
  </w:style>
  <w:style w:type="paragraph" w:styleId="TextosemFormatao2" w:customStyle="1">
    <w:name w:val="Texto sem Formatação2"/>
    <w:basedOn w:val="normal0"/>
    <w:rsid w:val="00C17165"/>
    <w:pPr>
      <w:suppressAutoHyphens w:val="1"/>
    </w:pPr>
    <w:rPr>
      <w:rFonts w:ascii="Courier New" w:cs="Times New Roman" w:eastAsia="Times New Roman" w:hAnsi="Courier New"/>
      <w:sz w:val="20"/>
      <w:szCs w:val="20"/>
      <w:lang w:eastAsia="ar-SA"/>
    </w:rPr>
  </w:style>
  <w:style w:type="table" w:styleId="a" w:customStyle="1">
    <w:basedOn w:val="TableNormal0"/>
    <w:rsid w:val="005312E6"/>
    <w:tblPr>
      <w:tblStyleRowBandSize w:val="1"/>
      <w:tblStyleColBandSize w:val="1"/>
      <w:tblCellMar>
        <w:top w:w="0.0" w:type="dxa"/>
        <w:left w:w="115.0" w:type="dxa"/>
        <w:bottom w:w="0.0" w:type="dxa"/>
        <w:right w:w="115.0" w:type="dxa"/>
      </w:tblCellMar>
    </w:tblPr>
  </w:style>
  <w:style w:type="table" w:styleId="a0" w:customStyle="1">
    <w:basedOn w:val="TableNormal0"/>
    <w:rsid w:val="005312E6"/>
    <w:tblPr>
      <w:tblStyleRowBandSize w:val="1"/>
      <w:tblStyleColBandSize w:val="1"/>
      <w:tblCellMar>
        <w:top w:w="100.0" w:type="dxa"/>
        <w:left w:w="100.0" w:type="dxa"/>
        <w:bottom w:w="100.0" w:type="dxa"/>
        <w:right w:w="100.0" w:type="dxa"/>
      </w:tblCellMar>
    </w:tblPr>
  </w:style>
  <w:style w:type="table" w:styleId="a1" w:customStyle="1">
    <w:basedOn w:val="TableNormal0"/>
    <w:rsid w:val="005312E6"/>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planalto.gov.br/ccivil_03/decreto-lei/del5452.htm" TargetMode="External"/><Relationship Id="rId12" Type="http://schemas.openxmlformats.org/officeDocument/2006/relationships/footer" Target="footer1.xml"/><Relationship Id="rId9" Type="http://schemas.openxmlformats.org/officeDocument/2006/relationships/hyperlink" Target="https://www.planalto.gov.br/ccivil_03/_ato2019-2022/2021/lei/l14133.htm#art143"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aps.app.goo.gl/HesVTNLT3siQQ9qX8" TargetMode="External"/><Relationship Id="rId8" Type="http://schemas.openxmlformats.org/officeDocument/2006/relationships/hyperlink" Target="http://www.planalto.gov.br/ccivil_03/_ato2019-2022/2021/lei/L14133.ht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LGgquUKzKH3KX1GAulC797eijw==">CgMxLjAyDmgud3hwamw1OGZvOHU5Mg5oLjhpbWExc2oxbWU3MzIOaC42NTl6ZnpzMmcyZ2cyDmguM2ZyZ3h0OHRycWU1Mg5oLnBhZ3RrMmx5M3Z1ZTIOaC4yMXhvb2ZjejlpMTIyDmguZmVubmR2NGNtN2FwMg5oLm8xazRhYjZvM3J5MDIOaC44eHU2YTA0bWdpYm0yDmgudTZmcmViM3l0cXV3OAByITFNNXJqaFhLNUJ0c1hrc0k3UjVEZ2x0aFpsbWtNV1RPSw==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2025-08-19T18:29:00Z</dcterms:created>
  <dc:creator>Home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0x01010017BA4F9D70754345ABE71C200CF16679</vt:lpwstr>
  </property>
</Properties>
</file>